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rPr>
      </w:pPr>
      <w:r>
        <w:rPr>
          <w:rFonts w:hint="eastAsia" w:ascii="方正小标宋简体" w:hAnsi="方正小标宋简体" w:eastAsia="方正小标宋简体" w:cs="方正小标宋简体"/>
          <w:b w:val="0"/>
          <w:i w:val="0"/>
          <w:caps w:val="0"/>
          <w:color w:val="000000"/>
          <w:spacing w:val="0"/>
          <w:sz w:val="44"/>
          <w:szCs w:val="44"/>
        </w:rPr>
        <w:t>关于印发山东省重点研发计划资金管理办法的通知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鲁财教〔2019〕2号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各市财政局、科技局，省财政直接管理县（市）财政局、科技局，省直有关部门，各高等院校、科研院所，各有关单位：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现将《山东省重点研发计划资金管理办法》印发给你们，请遵照执行。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山 东 省 财 政 厅              山东省科学技术厅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2019年1月22日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br w:type="page"/>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i w:val="0"/>
          <w:caps w:val="0"/>
          <w:color w:val="000000"/>
          <w:spacing w:val="0"/>
          <w:sz w:val="44"/>
          <w:szCs w:val="44"/>
        </w:rPr>
      </w:pPr>
      <w:r>
        <w:rPr>
          <w:rFonts w:hint="eastAsia" w:ascii="方正小标宋简体" w:hAnsi="方正小标宋简体" w:eastAsia="方正小标宋简体" w:cs="方正小标宋简体"/>
          <w:b w:val="0"/>
          <w:i w:val="0"/>
          <w:caps w:val="0"/>
          <w:color w:val="000000"/>
          <w:spacing w:val="0"/>
          <w:sz w:val="44"/>
          <w:szCs w:val="44"/>
        </w:rPr>
        <w:t>山东省重点研发计划资金管理办法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i w:val="0"/>
          <w:caps w:val="0"/>
          <w:color w:val="000000"/>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第一条  为规范山东省重点研发计划资金（以下简称重点研发计划资金）管理和使用，提高资金使用效益，根据《省委办公厅 省政府办公厅印发〈关于完善财政科研项目资金管理政策的实施意见〉的通知》（鲁办发〔2016〕71号），以及国家和省有关财经法规和财务管理制度规定，制定本办法。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第二条  重点研发计划资金由省级财政设立，面向全省经济社会发展及新旧动能转换的重大科技需求，重点支持基础性、公益性的科学研究及成果转化，推动重点领域关键核心技术实现新突破，培育科技人才队伍后备力量，支持科技领军人才开展深度研究，推进创新创业深入开展，为建设现代化经济体系提供科技创新支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第三条  重点研发计划资金的使用和管理，遵循“突出重点、分类支持、科学安排、注重绩效”的原则。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第四条  重点研发计划资金实行分级管理、分级负责。省财政厅负责资金预算编制、下达拨付和绩效监管。省科技厅负责项目评审立项、资金分配和组织验收，对资金支出进度、绩效、安全性和规范性等负责。省直有关部门（单位）、各市（含黄河三角洲农业高新技术产业示范区）科技局、国家级高新区管委会以及中央驻鲁单位作为项目主管部门，负责项目资金日常监管。项目承担单位是项目资金管理使用的责任主体，负责项目资金的日常管理和监督。项目管理专业机构接受委托为项目预算申报、评估和项目验收等提供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第二章  项目资金支持方式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第五条  重点研发计划资金采取多种支持方式，包括无偿资助、后补助、股权投资、风险补偿、贷款贴息等，具体支持方式在制发年度项目申报通知和项目指南时予以明确。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第六条  无偿资助，是指对科研项目等活动所需成本，在开展前直接给予部分或全部补助的财政资助方式。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后补助，是指从事研究开发和科技服务活动的单位先行投入资金，取得成果或服务绩效，通过验收或绩效考核后，给予资金补助的财政资助方式。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股权投资（含资本金注入），是指财政资金对开展重大科技成果转化和产业化的项目相关的科技企业以股权形式进行权益性投资的财政支持方式。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风险补偿，是指用于对金融机构给予科技创新和成果转化过程中银行、担保、创业投资、保险等支持活动产生的风险，给予一定比例补偿的财政支持方式。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贷款贴息，是指对科技创新和科技成果转化过程中在一定时期内按照一定比例给予的银行贷款利息补贴。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本办法主要规范无偿资助支持方式的资金，后补助支持方式参照执行。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第三章  项目资金开支范围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第七条  无偿资助项目资金，由直接费用和间接费用组成。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第八条  直接费用，是指在项目研究过程中发生的与之直接相关的费用，主要包括：</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一）设备费。是指在项目研究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（二）材料费。是指在项目研究过程中消耗的各种原材料、辅助材料等低值易耗品的采购及运输、装卸、整理等费用。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（三）测试化验加工费。是指在项目研究过程中支付给外单位（包括项目承担单位内部独立经济核算单位）的检验、测试、化验及加工等费用。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（四）燃料动力费。是指在项目研究开发过程中直接使用的相关仪器设备、科学装置等运行发生的水、电、气、燃料消耗费用等。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五）会议、差旅、国际合作交流费。是指在项目实施过程中发生的会议费、差旅费和国际合作交流费。在编制预算时，本科目支出预算不超过直接费用预算10%的，不需要编制测算依据。项目承担单位和科研人员应当按照实事求是、精简高效、厉行节约的原则，严格执行有关规定，统筹安排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（六）出版、文献、信息传播、知识产权事务费。是指在项目实施过程中，需要支付的出版费、资料费、专用软件购买费、文献检索费、专业通信费、专利申请及其他知识产权事务等费用。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七）劳务费。是指在项目实施过程中支付给参与项目研究的研究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科目列支。劳务费预算应据实编制，不设比例限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（八）专家咨询费。是指在项目实施过程中支付给临时聘请的咨询、论证、绩效评价等专家的费用。专家咨询费不得支付给参与项目、课题研究和管理的相关工作人员。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（九）其他支出。是指在项目实施过程中除上述支出范围之外的项目专项审计、绩效评价等其他相关支出。其他支出应当在申请预算时详细说明。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第九条  间接费用，是指项目承担单位在组织实施项目过程中发生的无法在直接费用中列支的相关费用。主要包括：承担单位为项目研究提供的房屋占用，日常水、电、气、暖消耗，有关管理费用的补助支出，以及激励科研人员的绩效支出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第十条  结合承担单位信用情况，间接费用实行总额控制，按照不超过直接费用扣除设备购置费后的一定比例核定，具体比例如下：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（一）500万元及以下部分，为30%。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（二）超过500万元至1000万元的部分，为25%。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（三）超过1000万元以上的部分，为20%。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对数学等纯理论基础研究项目，根据实际情况适当调整间接费用比例。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第十一条  间接费用由项目承担单位统一管理使用。项目承担单位应当制定间接费用内部管理办法，公开透明、合规合理使用间接费用，处理好合理分摊间接成本和对科研人员激励的关系。间接经费的使用，应向创新绩效突出的团队和个人倾斜。项目中有多个单位的，间接费用在总额范围内由项目牵头单位与参与单位协商分配。项目承担单位不得在核定的间接费用以外，再以任何名义在项目资金中重复提取、列支相关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第十二条  后补助项目资金由项目承担单位统筹使用，用于研发人员及团队奖励的项目资金最高可达50%。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第四章  预算编制与审批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第十三条  省科技厅按照部门预算编制要求，编制重点研发计划资金中期财政规划和年度预算建议，提前细化下年度重点研发计划资金项目预算，并及时将项目及实施单位等相关信息纳入财政项目库。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第十四条  项目负责人根据目标相关性、政策相符性和经济合理性原则，科学、合理、真实地编制项目预算。支出预算按照重点研发计划资金支出范围编列，项目直接费用中除设备费外，其他费用只提供基本测算说明，不提供明细。对仪器设备鼓励共享、试制、租赁，以及对现有仪器设备进行升级改造，确有必要购置的，应当对拟购置设备的理由及开放共享进行说明。涉及合作研究经费的，应当对项目合作单位资质及拟外拨资金进行说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第十五条  项目承担单位在申请项目时，应当组织其科研和财务部门对项目预算进行审核。对跨单位合作项目，项目承担单位的项目负责人和项目合作单位参与者，应当根据合作协议和各自承担的研究任务编报资金预算，由项目负责人汇总编制项目总预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项目确需外拨资金的，应当在项目预算中单独列示，并附外拨资金直接费用支出预算。间接费用外拨金额，由项目承担单位和合作单位协商确定。项目承担单位应当按照合作协议和审核通过的项目预算，及时转拨合作单位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第十六条  项目承担单位组织项目负责人与项目主管部门、省科技厅签订三方项目任务书，应将项目预算、资助额度等纳入任务书内容。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第五章  预算执行与决算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第十七条  重点研发计划资金要按照国库集中支付制度规定，及时拨付。逐级转拨资金时，不得无故拖延。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第十八条  项目承担单位应当严格执行国家、省有关财经法规和财务制度，切实履行法人责任，建立健全项目资金内部管理制度和报销规定，明确内部管理权限和审批程序,完善内控机制建设，强化资金使用绩效评价，确保资金使用安全规范高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第十九条  项目承担单位应当建立健全科研财务助理制度，为科研人员在项目预算编制和调剂、资金支出、财务决算和验收等方面提供专业化服务。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第二十条  项目承担单位应当将项目资金纳入单位财务统一管理，对省级财政资金和其他来源的资金分别单独核算，确保专款专用。按照承诺保证其他来源的资金及时足额到位。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第二十一条  项目承担单位应当建立信息公开制度，在单位内部公开项目立项、主要研究人员、资金使用（重点是间接费用、外拨资金、结余资金使用等）、大型仪器设备购置以及项目研究成果等情况，接受内部监督。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第二十二条  项目承担单位应当严格执行国家、省有关支出管理制度。对应当实行“公务卡”结算的支出，按照公务卡结算有关规定执行。对于设备费、大宗材料费和测试化验加工费、劳务费、专家咨询费等，原则上应当通过银行转账方式结算，从严控制现金支出事项。对野外考察、心理测试等科研活动中无法取得发票或财政票据的，在确保真实性的前提下，可按实际发生额予以报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第二十三条  项目承担单位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不得随意调账变动支出、随意修改</w:t>
      </w:r>
      <w:r>
        <w:rPr>
          <w:rFonts w:hint="eastAsia" w:ascii="仿宋_GB2312" w:hAnsi="仿宋_GB2312" w:eastAsia="仿宋_GB2312" w:cs="仿宋_GB2312"/>
          <w:b w:val="0"/>
          <w:i w:val="0"/>
          <w:caps w:val="0"/>
          <w:spacing w:val="0"/>
          <w:sz w:val="32"/>
          <w:szCs w:val="32"/>
        </w:rPr>
        <w:fldChar w:fldCharType="begin"/>
      </w:r>
      <w:r>
        <w:rPr>
          <w:rFonts w:hint="eastAsia" w:ascii="仿宋_GB2312" w:hAnsi="仿宋_GB2312" w:eastAsia="仿宋_GB2312" w:cs="仿宋_GB2312"/>
          <w:b w:val="0"/>
          <w:i w:val="0"/>
          <w:caps w:val="0"/>
          <w:spacing w:val="0"/>
          <w:sz w:val="32"/>
          <w:szCs w:val="32"/>
        </w:rPr>
        <w:instrText xml:space="preserve"> HYPERLINK "http://cpro.baidu.com/cpro/ui/uijs.php?adclass=0&amp;app_id=0&amp;c=news&amp;cf=1001&amp;ch=0&amp;di=8&amp;fv=20&amp;is_app=0&amp;jk=7f73ba4fae78f5bc&amp;k=%BC%C7%D5%CB&amp;k0=%BC%C7%D5%CB&amp;kdi0=0&amp;luki=2&amp;mcpm=0&amp;n=10&amp;p=baidu&amp;q=baidusiteerror_cpr&amp;rb=0&amp;rs=1&amp;seller_id=1&amp;sid=bcf578ae4fba737f&amp;ssp2=1&amp;stid=9&amp;t=tpclicked3_hc&amp;td=1615258&amp;tu=u1615258&amp;u=http://emuch.net/html/201505/8901825.html&amp;urlid=0" \t "http://emuch.net/html/201505/_blank" </w:instrText>
      </w:r>
      <w:r>
        <w:rPr>
          <w:rFonts w:hint="eastAsia" w:ascii="仿宋_GB2312" w:hAnsi="仿宋_GB2312" w:eastAsia="仿宋_GB2312" w:cs="仿宋_GB2312"/>
          <w:b w:val="0"/>
          <w:i w:val="0"/>
          <w:caps w:val="0"/>
          <w:spacing w:val="0"/>
          <w:sz w:val="32"/>
          <w:szCs w:val="32"/>
        </w:rPr>
        <w:fldChar w:fldCharType="separate"/>
      </w:r>
      <w:r>
        <w:rPr>
          <w:rStyle w:val="5"/>
          <w:rFonts w:hint="eastAsia" w:ascii="仿宋_GB2312" w:hAnsi="仿宋_GB2312" w:eastAsia="仿宋_GB2312" w:cs="仿宋_GB2312"/>
          <w:b w:val="0"/>
          <w:i w:val="0"/>
          <w:caps w:val="0"/>
          <w:spacing w:val="0"/>
          <w:sz w:val="32"/>
          <w:szCs w:val="32"/>
        </w:rPr>
        <w:t>记账</w:t>
      </w:r>
      <w:r>
        <w:rPr>
          <w:rFonts w:hint="eastAsia" w:ascii="仿宋_GB2312" w:hAnsi="仿宋_GB2312" w:eastAsia="仿宋_GB2312" w:cs="仿宋_GB2312"/>
          <w:b w:val="0"/>
          <w:i w:val="0"/>
          <w:caps w:val="0"/>
          <w:spacing w:val="0"/>
          <w:sz w:val="32"/>
          <w:szCs w:val="32"/>
        </w:rPr>
        <w:fldChar w:fldCharType="end"/>
      </w:r>
      <w:r>
        <w:rPr>
          <w:rFonts w:hint="eastAsia" w:ascii="仿宋_GB2312" w:hAnsi="仿宋_GB2312" w:eastAsia="仿宋_GB2312" w:cs="仿宋_GB2312"/>
          <w:b w:val="0"/>
          <w:i w:val="0"/>
          <w:caps w:val="0"/>
          <w:color w:val="000000"/>
          <w:spacing w:val="0"/>
          <w:sz w:val="32"/>
          <w:szCs w:val="32"/>
        </w:rPr>
        <w:t>凭证，严禁以任何方式使用项目资金列支应当由个人负担的有关费用和支付各种罚款、捐款、赞助、投资等。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第二十四条  项目承担单位应当按照下达的预算执行。项目在研期间，年度剩余资金结转下一年度继续使用。项目预算总额不变，项目直接费用中除设备费外，其他科目费用调剂权全部下放给项目承担单位；项目预算总额不变、项目参与单位之间预算调剂以及增减参与单位的，由项目承担单位逐级向省科技厅提出申请，省科技厅审核评估后，按有关规定批准。间接费用预算总额不得调增，经项目承担单位与项目负责人协商一致后，可以调减用于直接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第二十五条  项目承担单位应当于每年11月底前形成项目资金使用情况，与项目年度执行情况一起报送项目主管部门，由项目主管部门汇总后报送省科技厅、省财政厅。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第二十六条  项目资金使用管理中涉及的政府采购、政府购买服务、国有资产管理等事项，严格按照相关规定执行。使用省级财政资金形成的大型科学仪器设备、科学数据、自然科技资源等，按照规定开放共享。</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第二十七条  项目因故撤销或终止，项目承担单位应当及时清理账目与资产，编制财务报告及资产清单，逐级报送省科技厅、省财政厅。省科技厅、省财政厅组织清查处理，确认并回收结余资金（含处理已购物资、材料及仪器设备的变价收入），统筹用于重点研发计划后续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第二十八条  项目执行期满后，项目承担单位应当及时组织清理账目与资产，如实编制项目资金决算，不得随意调账变动支出、随意修改记账凭证。有外拨资金的项目，合作单位应编制外拨资金决算，按规定汇总编制项目资金决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第二十九条  项目完成任务目标并通过验收后，结余资金按规定留归项目承担单位使用，在2年内由项目承担单位统筹安排用于科研活动的直接支出；2年后未使用完的，按规定收回。未通过验收、整改后通过验收的项目，结余资金按规定收回。</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第六章  绩效与监督管理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第三十条  重点研发计划资金实行绩效目标管理，省科技厅、项目主管部门、项目承担单位按照各自职责，对项目实施及经费使用情况开展绩效监控、绩效评价。绩效评价结果作为今后省级财政经费支持的重要依据。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第三十一条  省科技厅、项目主管部门和承担单位等相关主体应当按照各自职责，建立覆盖资金管理使用全过程的资金监督检查机制，确保资金安全、规范使用。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第三十二条  省科技厅组织或委托项目专业机构，定期或不定期对项目承担单位法人责任和内部控制、项目资金拨付的及时性、项目资金管理使用的规范性、安全性和有效性等进行抽查。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第三十三条  项目主管部门应当督促所属项目承担单位加强内控制度和监督制约机制建设，落实项目资金管理责任。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第三十四条  项目承担单位应当按照本办法和相关财经法规及财务管理规定，完善内部控制和监督制约机制，加强支撑服务条件建设，提高对科研人员的服务水平，建立常态化的自查自纠机制，保证项目资金安全。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第三十五条  项目承担单位在预算编报、资金拨付、资金管理使用、财务验收等环节存在违规行为的，应当严肃处理。省科技厅、省财政厅视情节轻重采取约谈、暂停项目拨款、终止项目执行、追回已拨资金、5年内取消项目承担单位或项目主要负责人和参与人员项目申报资格等措施，并将有关结果向社会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第三十六条  重点研发计划资金使用管理实行责任追究机制，对资金使用管理过程中出现的弄虚作假、截留、挪用、挤占资金等行为，按照《中华人民共和国预算法》《财政违法行为处罚处分条例》（国务院令第427号）等有关规定严肃予以处理，并依法追究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第三十七条  省科技厅、省财政厅按照科研信用管理相关规定，对相关主体参与项目资金管理使用的行为进行记录和信用评价，相关信息作为省科技计划管理的重要决策依据。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第七章  附  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第三十八条  本办法由省财政厅、省科技厅负责解释。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第三十九条  本办法自2019年2月21日起施行，有效期至2022年2月20日。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403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jwqian</dc:creator>
  <cp:lastModifiedBy>jwqian</cp:lastModifiedBy>
  <dcterms:modified xsi:type="dcterms:W3CDTF">2020-12-13T12:08:17Z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