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sz w:val="32"/>
          <w:szCs w:val="32"/>
        </w:rPr>
      </w:pPr>
      <w:bookmarkStart w:id="0" w:name="_GoBack"/>
      <w:bookmarkEnd w:id="0"/>
      <w:r>
        <w:rPr>
          <w:rFonts w:hint="eastAsia" w:ascii="黑体" w:hAnsi="黑体" w:eastAsia="黑体"/>
          <w:sz w:val="32"/>
          <w:szCs w:val="32"/>
        </w:rPr>
        <w:t>附件2</w:t>
      </w:r>
    </w:p>
    <w:p>
      <w:pPr>
        <w:spacing w:before="240" w:beforeLines="100"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行政事业单位会计基础工作规范化建设</w:t>
      </w:r>
    </w:p>
    <w:p>
      <w:pPr>
        <w:spacing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自评表</w:t>
      </w:r>
    </w:p>
    <w:p>
      <w:pPr>
        <w:spacing w:line="580" w:lineRule="exact"/>
        <w:rPr>
          <w:rFonts w:ascii="仿宋_GB2312" w:hAnsi="黑体" w:eastAsia="仿宋_GB2312"/>
          <w:sz w:val="32"/>
          <w:szCs w:val="32"/>
        </w:rPr>
      </w:pPr>
    </w:p>
    <w:p>
      <w:pPr>
        <w:spacing w:line="600" w:lineRule="exact"/>
        <w:rPr>
          <w:rFonts w:ascii="仿宋_GB2312" w:hAnsi="黑体" w:eastAsia="仿宋_GB2312"/>
          <w:sz w:val="32"/>
          <w:szCs w:val="32"/>
        </w:rPr>
      </w:pPr>
      <w:r>
        <w:rPr>
          <w:rFonts w:hint="eastAsia" w:ascii="仿宋_GB2312" w:hAnsi="黑体" w:eastAsia="仿宋_GB2312"/>
          <w:sz w:val="32"/>
          <w:szCs w:val="32"/>
        </w:rPr>
        <w:t>单位名称（公章）：</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95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vAlign w:val="center"/>
          </w:tcPr>
          <w:p>
            <w:pPr>
              <w:overflowPunct w:val="0"/>
              <w:spacing w:line="320" w:lineRule="exact"/>
              <w:jc w:val="center"/>
              <w:rPr>
                <w:rFonts w:ascii="黑体" w:hAnsi="黑体" w:eastAsia="黑体"/>
                <w:sz w:val="24"/>
              </w:rPr>
            </w:pPr>
            <w:r>
              <w:rPr>
                <w:rFonts w:hint="eastAsia" w:ascii="黑体" w:hAnsi="黑体" w:eastAsia="黑体"/>
                <w:sz w:val="24"/>
              </w:rPr>
              <w:t>序号</w:t>
            </w:r>
          </w:p>
        </w:tc>
        <w:tc>
          <w:tcPr>
            <w:tcW w:w="1559" w:type="dxa"/>
            <w:vAlign w:val="center"/>
          </w:tcPr>
          <w:p>
            <w:pPr>
              <w:overflowPunct w:val="0"/>
              <w:spacing w:line="320" w:lineRule="exact"/>
              <w:jc w:val="center"/>
              <w:rPr>
                <w:rFonts w:ascii="黑体" w:hAnsi="黑体" w:eastAsia="黑体"/>
                <w:sz w:val="24"/>
              </w:rPr>
            </w:pPr>
            <w:r>
              <w:rPr>
                <w:rFonts w:hint="eastAsia" w:ascii="黑体" w:hAnsi="黑体" w:eastAsia="黑体"/>
                <w:sz w:val="24"/>
              </w:rPr>
              <w:t>任务（分值）</w:t>
            </w:r>
          </w:p>
        </w:tc>
        <w:tc>
          <w:tcPr>
            <w:tcW w:w="5954" w:type="dxa"/>
            <w:vAlign w:val="center"/>
          </w:tcPr>
          <w:p>
            <w:pPr>
              <w:overflowPunct w:val="0"/>
              <w:spacing w:line="320" w:lineRule="exact"/>
              <w:jc w:val="center"/>
              <w:rPr>
                <w:rFonts w:ascii="黑体" w:hAnsi="黑体" w:eastAsia="黑体"/>
                <w:sz w:val="24"/>
              </w:rPr>
            </w:pPr>
            <w:r>
              <w:rPr>
                <w:rFonts w:hint="eastAsia" w:ascii="黑体" w:hAnsi="黑体" w:eastAsia="黑体"/>
                <w:sz w:val="24"/>
              </w:rPr>
              <w:t>评分说明</w:t>
            </w:r>
          </w:p>
        </w:tc>
        <w:tc>
          <w:tcPr>
            <w:tcW w:w="850" w:type="dxa"/>
            <w:vAlign w:val="center"/>
          </w:tcPr>
          <w:p>
            <w:pPr>
              <w:spacing w:line="300" w:lineRule="exact"/>
              <w:jc w:val="center"/>
              <w:rPr>
                <w:rFonts w:ascii="黑体" w:hAnsi="黑体" w:eastAsia="黑体"/>
                <w:sz w:val="24"/>
              </w:rPr>
            </w:pPr>
            <w:r>
              <w:rPr>
                <w:rFonts w:hint="eastAsia" w:ascii="黑体" w:hAnsi="黑体" w:eastAsia="黑体"/>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1559"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规范设置</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会计机构</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（5分）</w:t>
            </w:r>
          </w:p>
        </w:tc>
        <w:tc>
          <w:tcPr>
            <w:tcW w:w="5954" w:type="dxa"/>
          </w:tcPr>
          <w:p>
            <w:pPr>
              <w:overflowPunct w:val="0"/>
              <w:spacing w:line="320" w:lineRule="exact"/>
              <w:jc w:val="left"/>
              <w:rPr>
                <w:rFonts w:asciiTheme="minorEastAsia" w:hAnsiTheme="minorEastAsia" w:eastAsiaTheme="minorEastAsia"/>
                <w:sz w:val="20"/>
                <w:szCs w:val="20"/>
              </w:rPr>
            </w:pPr>
            <w:r>
              <w:rPr>
                <w:rFonts w:hint="eastAsia" w:asciiTheme="minorEastAsia" w:hAnsiTheme="minorEastAsia" w:eastAsiaTheme="minorEastAsia"/>
                <w:sz w:val="20"/>
                <w:szCs w:val="20"/>
              </w:rPr>
              <w:t>单独设置会计机构，且配备会计机构负责人的，得3分；单独设置会计机构，未配备会计机构负责人的，得2分；否则不得分。</w:t>
            </w:r>
          </w:p>
          <w:p>
            <w:pPr>
              <w:overflowPunct w:val="0"/>
              <w:spacing w:line="320" w:lineRule="exact"/>
              <w:jc w:val="left"/>
              <w:rPr>
                <w:rFonts w:asciiTheme="minorEastAsia" w:hAnsiTheme="minorEastAsia" w:eastAsiaTheme="minorEastAsia"/>
                <w:sz w:val="20"/>
                <w:szCs w:val="20"/>
              </w:rPr>
            </w:pPr>
            <w:r>
              <w:rPr>
                <w:rFonts w:hint="eastAsia" w:asciiTheme="minorEastAsia" w:hAnsiTheme="minorEastAsia" w:eastAsiaTheme="minorEastAsia"/>
                <w:sz w:val="20"/>
                <w:szCs w:val="20"/>
              </w:rPr>
              <w:t>不具备单独设置会计机构条件，但在有关机构中配备专职会计人员并指定会计主管人员的，得3分；不具备单独设置会计机构条件，在有关机构中配备专职会计人员，但未指定会计主管人员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tcPr>
          <w:p>
            <w:pPr>
              <w:overflowPunct w:val="0"/>
              <w:spacing w:line="320" w:lineRule="exact"/>
              <w:jc w:val="left"/>
              <w:rPr>
                <w:rFonts w:asciiTheme="minorEastAsia" w:hAnsiTheme="minorEastAsia" w:eastAsiaTheme="minorEastAsia"/>
                <w:sz w:val="20"/>
                <w:szCs w:val="20"/>
              </w:rPr>
            </w:pPr>
            <w:r>
              <w:rPr>
                <w:rFonts w:hint="eastAsia" w:asciiTheme="minorEastAsia" w:hAnsiTheme="minorEastAsia" w:eastAsiaTheme="minorEastAsia"/>
                <w:sz w:val="20"/>
                <w:szCs w:val="20"/>
              </w:rPr>
              <w:t>会计机构负责人（会计主管人员）有正式文件或者有关决议等书面形式予以明确的，得2分；否则不得分。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1559"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规范设置</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会计工作岗位</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（6分）</w:t>
            </w: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根据会计业务需要合理设置会计工作岗位的，得2分；否则不得分。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按规定实行关键岗位分离的，得2分；否则该大项6分均不得分。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会计人员的工作岗位定期进行轮换的，得2分；否则不得分。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1559"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规范任用</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会计人员</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（12分）</w:t>
            </w: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会计机构负责（会计主管人员）具备会计师以上专业技术资格证书或者从事会计工作三年以上经历的，得3分；否则该大项12分均不得分。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会计机构负责人（会计主管人员）不是单位领导人直系亲属的，得2分；否则该大项12分均不得分。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出纳不是由会计机构负责人（会计主管人员）直系亲属担任的，得2分；否则该大项12分均不得分。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全部会计人员参加会计信息采集的，得2分；只有部分会计人员参加会计信息采集的，得1分；会计人员均未参加会计信息采集的，不得分。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全部会计人员近五年继续教育均完成的，得2分；有部分会计人员近五年继续教育未全部完成的，得1分；全部会计人员近五年均未完成继续教育的，不得分。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单位每年组织会计业务培训的，或者保证会计人员自行参加会计业务培训的，得1分；否则不得分。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1559"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认真贯彻政府</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会计准则制度</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（5分）</w:t>
            </w: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严格按照政府会计准则制度进行会计核算的，得3分；否则不得分。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采用财政部门预算管理一体化系统进行单位会计核算的，得2分；否则不得分。（注：经批准可不采用的单位，自动获得本项2分）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1559" w:type="dxa"/>
            <w:vMerge w:val="restart"/>
            <w:vAlign w:val="center"/>
          </w:tcPr>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规范填制</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会计凭证</w:t>
            </w:r>
          </w:p>
          <w:p>
            <w:pPr>
              <w:overflowPunct w:val="0"/>
              <w:spacing w:line="32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（9分）</w:t>
            </w:r>
          </w:p>
        </w:tc>
        <w:tc>
          <w:tcPr>
            <w:tcW w:w="5954" w:type="dxa"/>
            <w:vAlign w:val="center"/>
          </w:tcPr>
          <w:p>
            <w:pPr>
              <w:widowControl w:val="0"/>
              <w:overflowPunct w:val="0"/>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原始凭证的内容和获取途径真实、合规的，得2分；否则不得分。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原始凭证不存在涂改、挖补的，得1分；否则不得分。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原始凭证有错误，按规定重开或更正的，得1分；否则不得分。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记账凭证填制规范的，得3分；每存在一处不规范，扣0.1分，扣完3分为限。不规范包括并不限于以下几项：（1）记账凭证摘要、科目、金额、内容与所附原始凭证不符；（2）不同内容和类别的原始凭证汇总填制在一张记账凭证上；（3）记账凭证上制单人员、审核人员、记账人员、会计机构负责人（会计主管人员）等未签字或盖章；（4）收款和付款记账凭证上出纳人员的未签字或盖章；（5）除结账和更正错账的记账凭证外，记账凭证未附原始凭证；（6）记账凭证后所附原始凭证不齐全。</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1559" w:type="dxa"/>
            <w:vMerge w:val="continue"/>
            <w:vAlign w:val="center"/>
          </w:tcPr>
          <w:p>
            <w:pPr>
              <w:overflowPunct w:val="0"/>
              <w:spacing w:line="320" w:lineRule="exact"/>
              <w:jc w:val="center"/>
              <w:rPr>
                <w:rFonts w:asciiTheme="minorEastAsia" w:hAnsiTheme="minorEastAsia" w:eastAsiaTheme="minorEastAsia"/>
                <w:sz w:val="20"/>
                <w:szCs w:val="20"/>
              </w:rPr>
            </w:pPr>
          </w:p>
        </w:tc>
        <w:tc>
          <w:tcPr>
            <w:tcW w:w="5954" w:type="dxa"/>
            <w:vAlign w:val="center"/>
          </w:tcPr>
          <w:p>
            <w:pPr>
              <w:widowControl w:val="0"/>
              <w:overflowPunct w:val="0"/>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记账凭证按期装订成册，并准确完整填写封面的，得2分；封面项目填写不全或装订不符合要求的,每存在一处扣0.1分，扣完2分为限。</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规范登记</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会计账簿</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（14分）</w:t>
            </w: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按照规定设置会计账簿，包括总账、明细账、日记账和其他辅助性账簿的，得3分；否则不得分。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采用正确会计处理方法，按规定会计科目进行核算的，得2分；否则不得分。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会计账簿记录内容完整、准确，得2分；否则不得分。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会计账簿字迹工整、账面整洁，得1分；否则不得分。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账簿记录发生错误，按照规定更正的，得2分；不按规定更正的每存在一处扣0.1分，扣完2分为限。</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会计账簿按规定装订成册，有记账人员和会计机构负责人（会计主管人员）印章或者签字的，得2分；否则不得分。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定期将会计账簿记录与库存实物、货币资金、有价证券、往来单位或者个人等进行相互核对，核对无误的，得2分；账证不符、账账不符、账实不符的，每存在一处扣0.1分，扣完2分为限。</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规范编制</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财务报告</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（7分）</w:t>
            </w: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编制符合会计法和国家统一的会计制度规定的格式和要求的财务报告的，得2分；否则不得分。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财务报告包括会计报表及其说明，会计报表包括会计报表主表、会计报表附表、会计报表附注的，得1分；报表不完整的不得分。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会计报表内容完整、准确，报表勾稽关系一致的，得2分；否则不得分。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对外报送的财务报告，有单位领导人、会计机构负责人（会计主管人员）的印章或者签字的，得2分；否则不得分。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建立健全内部</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会计管理制度</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（10分）</w:t>
            </w: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建立会计工作岗位责任制度，并执行到位的，得2分；建立制度未执行的，得1分；否则不得分。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建立账务处理程序制度，并执行到位的，得2分；建立制度未执行到位的，得1分；否则不得分。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建立内部稽核制度，并执行到位的，得2分；建立制度未执行到位的，得1分；否则不得分。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建立财产清查制度，并执行到位的，得2分；建立制度未执行到位的，得1分；否则不得分。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27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建立财务收支审批制度，并执行到位的，得2分；建立制度未执行到位的，得1分；否则不得分。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9</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asciiTheme="minorEastAsia" w:hAnsiTheme="minorEastAsia" w:eastAsiaTheme="minorEastAsia"/>
                <w:sz w:val="20"/>
                <w:szCs w:val="20"/>
              </w:rPr>
              <w:t>建立健全内部</w:t>
            </w:r>
          </w:p>
          <w:p>
            <w:pPr>
              <w:spacing w:line="300" w:lineRule="exact"/>
              <w:jc w:val="center"/>
              <w:rPr>
                <w:rFonts w:asciiTheme="minorEastAsia" w:hAnsiTheme="minorEastAsia" w:eastAsiaTheme="minorEastAsia"/>
                <w:sz w:val="20"/>
                <w:szCs w:val="20"/>
              </w:rPr>
            </w:pPr>
            <w:r>
              <w:rPr>
                <w:rFonts w:asciiTheme="minorEastAsia" w:hAnsiTheme="minorEastAsia" w:eastAsiaTheme="minorEastAsia"/>
                <w:sz w:val="20"/>
                <w:szCs w:val="20"/>
              </w:rPr>
              <w:t>控制制度</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（6分）</w:t>
            </w:r>
          </w:p>
        </w:tc>
        <w:tc>
          <w:tcPr>
            <w:tcW w:w="5954" w:type="dxa"/>
            <w:vAlign w:val="center"/>
          </w:tcPr>
          <w:p>
            <w:pPr>
              <w:widowControl/>
              <w:spacing w:line="340" w:lineRule="exact"/>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定期进行经济活动风险评估的，得1分；否则不得分。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建立单位层面内部控制组织架构和工作机制，且单位负责人直接领导内控工作的，得2分；建立单位层面内部控制组织架构和工作机制，但单位负责人未领导内控工作的，得1分；否则不得分。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单位建立预算、收支、政府采购、资产、建设项目、合同六大业务层面内部控制制度且有效执行的，得2分；建立制度但执行不到位的，得1分；否则不得分。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按时报送年度行政事业单位内部控制报告的，得1分；否则不得分。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建立健全会计</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工作交接制度</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（6分）</w:t>
            </w: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会计人员工作调动或者离职，按规定办理会计工作交接手续的，得2分；否则不得分。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单位落实监交制度的，得2分；否则不得分。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接替人员应当继续使用移交的会计账簿，未另立新账的，得2分；否则不得分。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11</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建立健全会计</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档案管理制度</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（10分）</w:t>
            </w: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单位制定会计档案管理制度并执行到位的，得2分；建立制度未执行到位的，得1分；否则不得分。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会计档案保管地点安全规范的，得1分；否则不得分。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移交会计档案符合规定、手续齐全的，得2分；否则不得分。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单位在进行会计档案查阅、复制、借出时履行登记手续的，得2分；否则不得分。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会计档案鉴定、销毁手续完备，未发生违规销毁会计档案的事件的，得3分；会计档案鉴定、销毁手续不完备，未发生违规销毁会计档案的事件的，得1分；发生违规销毁会计档案事件的，该大项10分均不得分。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有效发挥单位</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会计监督作用</w:t>
            </w:r>
          </w:p>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（10分）</w:t>
            </w: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单位负责人保证会计机构、会计人员依法履行职责，未授意、指使、强令会计机构、会计人员违法办理会计事项的，得3分；否则该大项10分均不得分。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会计机构、会计人员能够对本单位的原始凭证进行有效审核和监督，对实物、款项、财务收支进行有效监督，对单位预算、财务计划等的执行情况进行有效监督，得2分；否则该大项10分均不得分。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会计机构、会计人员对伪造、变造、故意毁灭会计账簿或者账外设账的行为，对指使、强令编造、篡改财务报告的行为，对违反单位内部会计管理制度的活动，能够及时制止和纠正的，得2分；否则该大项10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4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单位依法依规接受有关监督检查部门的监督检查，能如实提供会计资料及有关情况，未拒绝、隐匿、谎报的，得3分；否则该大项10分均不得分。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13</w:t>
            </w:r>
          </w:p>
        </w:tc>
        <w:tc>
          <w:tcPr>
            <w:tcW w:w="1559" w:type="dxa"/>
            <w:vMerge w:val="restart"/>
            <w:vAlign w:val="center"/>
          </w:tcPr>
          <w:p>
            <w:pPr>
              <w:spacing w:line="300" w:lineRule="exac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加分项</w:t>
            </w:r>
          </w:p>
        </w:tc>
        <w:tc>
          <w:tcPr>
            <w:tcW w:w="5954" w:type="dxa"/>
            <w:vAlign w:val="center"/>
          </w:tcPr>
          <w:p>
            <w:pPr>
              <w:widowControl/>
              <w:spacing w:line="320" w:lineRule="exact"/>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单位会计机构中一半以上会计人员取得会计专业技术资格证书（注册会计师证书），加2分。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20" w:lineRule="exact"/>
              <w:jc w:val="left"/>
              <w:textAlignment w:val="center"/>
              <w:rPr>
                <w:rFonts w:cs="宋体" w:asciiTheme="minorEastAsia" w:hAnsiTheme="minorEastAsia" w:eastAsiaTheme="minorEastAsia"/>
                <w:color w:val="000000"/>
                <w:kern w:val="0"/>
                <w:sz w:val="20"/>
                <w:szCs w:val="20"/>
                <w:lang w:bidi="ar"/>
              </w:rPr>
            </w:pPr>
            <w:r>
              <w:rPr>
                <w:rFonts w:hint="eastAsia" w:cs="宋体" w:asciiTheme="minorEastAsia" w:hAnsiTheme="minorEastAsia" w:eastAsiaTheme="minorEastAsia"/>
                <w:color w:val="000000"/>
                <w:kern w:val="0"/>
                <w:sz w:val="20"/>
                <w:szCs w:val="20"/>
                <w:lang w:bidi="ar"/>
              </w:rPr>
              <w:t>对做出显著成绩的会计机构、会计人员，单位制定明确激励政策的，加2分。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单位仅使用电子会计凭证报销、入账、归档的，或开展纸质凭证影像化采集的，加2分。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vAlign w:val="center"/>
          </w:tcPr>
          <w:p>
            <w:pPr>
              <w:spacing w:line="300" w:lineRule="exact"/>
              <w:jc w:val="center"/>
              <w:rPr>
                <w:rFonts w:asciiTheme="minorEastAsia" w:hAnsiTheme="minorEastAsia" w:eastAsiaTheme="minorEastAsia"/>
                <w:sz w:val="20"/>
                <w:szCs w:val="20"/>
              </w:rPr>
            </w:pPr>
          </w:p>
        </w:tc>
        <w:tc>
          <w:tcPr>
            <w:tcW w:w="1559" w:type="dxa"/>
            <w:vMerge w:val="continue"/>
            <w:vAlign w:val="center"/>
          </w:tcPr>
          <w:p>
            <w:pPr>
              <w:spacing w:line="300" w:lineRule="exact"/>
              <w:jc w:val="center"/>
              <w:rPr>
                <w:rFonts w:asciiTheme="minorEastAsia" w:hAnsiTheme="minorEastAsia" w:eastAsiaTheme="minorEastAsia"/>
                <w:sz w:val="20"/>
                <w:szCs w:val="20"/>
              </w:rPr>
            </w:pPr>
          </w:p>
        </w:tc>
        <w:tc>
          <w:tcPr>
            <w:tcW w:w="5954" w:type="dxa"/>
            <w:vAlign w:val="center"/>
          </w:tcPr>
          <w:p>
            <w:pPr>
              <w:widowControl/>
              <w:spacing w:line="320" w:lineRule="exact"/>
              <w:jc w:val="lef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lang w:bidi="ar"/>
              </w:rPr>
              <w:t>近三年获得省部级及以上会计工作奖励或其他体现会计工作先进性的事项，每项加2分。</w:t>
            </w:r>
          </w:p>
        </w:tc>
        <w:tc>
          <w:tcPr>
            <w:tcW w:w="850" w:type="dxa"/>
            <w:vAlign w:val="center"/>
          </w:tcPr>
          <w:p>
            <w:pPr>
              <w:spacing w:line="300" w:lineRule="exact"/>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330" w:type="dxa"/>
            <w:gridSpan w:val="3"/>
            <w:vAlign w:val="center"/>
          </w:tcPr>
          <w:p>
            <w:pPr>
              <w:spacing w:line="300" w:lineRule="exact"/>
              <w:jc w:val="center"/>
              <w:rPr>
                <w:rFonts w:ascii="黑体" w:hAnsi="黑体" w:eastAsia="黑体"/>
                <w:sz w:val="24"/>
              </w:rPr>
            </w:pPr>
            <w:r>
              <w:rPr>
                <w:rFonts w:hint="eastAsia" w:ascii="黑体" w:hAnsi="黑体" w:eastAsia="黑体"/>
                <w:sz w:val="24"/>
              </w:rPr>
              <w:t>合计得分</w:t>
            </w:r>
          </w:p>
        </w:tc>
        <w:tc>
          <w:tcPr>
            <w:tcW w:w="850" w:type="dxa"/>
            <w:vAlign w:val="center"/>
          </w:tcPr>
          <w:p>
            <w:pPr>
              <w:spacing w:line="300" w:lineRule="exact"/>
              <w:jc w:val="center"/>
              <w:rPr>
                <w:rFonts w:ascii="宋体" w:hAnsi="宋体"/>
                <w:sz w:val="20"/>
                <w:szCs w:val="20"/>
              </w:rPr>
            </w:pPr>
          </w:p>
        </w:tc>
      </w:tr>
    </w:tbl>
    <w:p>
      <w:pPr>
        <w:spacing w:line="300" w:lineRule="exact"/>
        <w:rPr>
          <w:rFonts w:asciiTheme="minorEastAsia" w:hAnsiTheme="minorEastAsia" w:eastAsiaTheme="minorEastAsia"/>
          <w:sz w:val="20"/>
          <w:szCs w:val="20"/>
        </w:rPr>
      </w:pPr>
      <w:r>
        <w:rPr>
          <w:rFonts w:hint="eastAsia" w:asciiTheme="minorEastAsia" w:hAnsiTheme="minorEastAsia" w:eastAsiaTheme="minorEastAsia"/>
          <w:sz w:val="20"/>
          <w:szCs w:val="20"/>
        </w:rPr>
        <w:t>注：会计主管人员是指不单独设置会计机构、只在其他机构中设置专职会计人员的单位，行使会计机</w:t>
      </w:r>
    </w:p>
    <w:p>
      <w:pPr>
        <w:spacing w:line="300" w:lineRule="exact"/>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构负责人职权的人员，是《中华人民共和国会计法》《会计基础工作规范》中具有特定法律意义</w:t>
      </w:r>
    </w:p>
    <w:p>
      <w:pPr>
        <w:spacing w:line="300" w:lineRule="exact"/>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的规范名词。</w:t>
      </w:r>
    </w:p>
    <w:p>
      <w:pPr>
        <w:spacing w:line="300" w:lineRule="exact"/>
        <w:rPr>
          <w:rFonts w:asciiTheme="minorEastAsia" w:hAnsiTheme="minorEastAsia" w:eastAsiaTheme="minorEastAsia"/>
          <w:sz w:val="20"/>
          <w:szCs w:val="20"/>
        </w:rPr>
      </w:pPr>
    </w:p>
    <w:p>
      <w:pPr>
        <w:widowControl/>
        <w:jc w:val="left"/>
        <w:rPr>
          <w:rFonts w:ascii="仿宋_GB2312" w:hAnsi="黑体" w:eastAsia="仿宋_GB2312" w:cs="黑体"/>
          <w:sz w:val="32"/>
          <w:szCs w:val="32"/>
        </w:rPr>
      </w:pPr>
    </w:p>
    <w:sectPr>
      <w:footerReference r:id="rId3" w:type="default"/>
      <w:pgSz w:w="11906" w:h="16838"/>
      <w:pgMar w:top="1701" w:right="1474" w:bottom="1701" w:left="1474" w:header="851" w:footer="136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 </w:t>
    </w:r>
    <w:sdt>
      <w:sdtPr>
        <w:rPr>
          <w:rFonts w:asciiTheme="minorEastAsia" w:hAnsiTheme="minorEastAsia" w:eastAsiaTheme="minorEastAsia"/>
          <w:sz w:val="24"/>
        </w:rPr>
        <w:id w:val="-749965481"/>
      </w:sdtPr>
      <w:sdtEndPr>
        <w:rPr>
          <w:rFonts w:asciiTheme="minorEastAsia" w:hAnsiTheme="minorEastAsia" w:eastAsiaTheme="minorEastAsia"/>
          <w:sz w:val="24"/>
        </w:rPr>
      </w:sdtEndPr>
      <w:sdtContent>
        <w:r>
          <w:rPr>
            <w:rFonts w:asciiTheme="minorEastAsia" w:hAnsiTheme="minorEastAsia" w:eastAsiaTheme="minorEastAsia"/>
            <w:sz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rPr>
          <w:fldChar w:fldCharType="separate"/>
        </w:r>
        <w:r>
          <w:rPr>
            <w:rFonts w:asciiTheme="minorEastAsia" w:hAnsiTheme="minorEastAsia" w:eastAsiaTheme="minorEastAsia"/>
            <w:sz w:val="24"/>
            <w:szCs w:val="24"/>
            <w:lang w:val="zh-CN"/>
          </w:rPr>
          <w:t>17</w:t>
        </w:r>
        <w:r>
          <w:rPr>
            <w:rFonts w:asciiTheme="minorEastAsia" w:hAnsiTheme="minorEastAsia" w:eastAsiaTheme="minorEastAsia"/>
            <w:sz w:val="24"/>
          </w:rPr>
          <w:fldChar w:fldCharType="end"/>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21"/>
    <w:rsid w:val="00005139"/>
    <w:rsid w:val="00006A87"/>
    <w:rsid w:val="00024C95"/>
    <w:rsid w:val="0003726E"/>
    <w:rsid w:val="00041E93"/>
    <w:rsid w:val="00047E74"/>
    <w:rsid w:val="00051050"/>
    <w:rsid w:val="000525C2"/>
    <w:rsid w:val="00066EF4"/>
    <w:rsid w:val="0007588E"/>
    <w:rsid w:val="00076472"/>
    <w:rsid w:val="00081DAE"/>
    <w:rsid w:val="000977A6"/>
    <w:rsid w:val="000A52E3"/>
    <w:rsid w:val="000A7665"/>
    <w:rsid w:val="000C17D3"/>
    <w:rsid w:val="000D5A96"/>
    <w:rsid w:val="000E00ED"/>
    <w:rsid w:val="000E0896"/>
    <w:rsid w:val="000E1FBE"/>
    <w:rsid w:val="000E599D"/>
    <w:rsid w:val="000F0314"/>
    <w:rsid w:val="000F15C2"/>
    <w:rsid w:val="000F3E9A"/>
    <w:rsid w:val="000F6C05"/>
    <w:rsid w:val="00104CAF"/>
    <w:rsid w:val="00105AF4"/>
    <w:rsid w:val="001110DB"/>
    <w:rsid w:val="00111A7D"/>
    <w:rsid w:val="0012251E"/>
    <w:rsid w:val="00124DBA"/>
    <w:rsid w:val="001308D9"/>
    <w:rsid w:val="0013592B"/>
    <w:rsid w:val="00137497"/>
    <w:rsid w:val="00137550"/>
    <w:rsid w:val="00162C4C"/>
    <w:rsid w:val="00172BED"/>
    <w:rsid w:val="001842DF"/>
    <w:rsid w:val="00195E18"/>
    <w:rsid w:val="0019628E"/>
    <w:rsid w:val="001B074B"/>
    <w:rsid w:val="001B27A8"/>
    <w:rsid w:val="001B285C"/>
    <w:rsid w:val="001B2CDC"/>
    <w:rsid w:val="001C4134"/>
    <w:rsid w:val="001C495B"/>
    <w:rsid w:val="001D0F21"/>
    <w:rsid w:val="001D274A"/>
    <w:rsid w:val="001E58DA"/>
    <w:rsid w:val="001E66C3"/>
    <w:rsid w:val="001E678D"/>
    <w:rsid w:val="001F20DC"/>
    <w:rsid w:val="001F43E6"/>
    <w:rsid w:val="00211F0A"/>
    <w:rsid w:val="002138D5"/>
    <w:rsid w:val="002138E5"/>
    <w:rsid w:val="00214124"/>
    <w:rsid w:val="00215B3F"/>
    <w:rsid w:val="00235DB8"/>
    <w:rsid w:val="002529D8"/>
    <w:rsid w:val="00262F21"/>
    <w:rsid w:val="00263524"/>
    <w:rsid w:val="002758C5"/>
    <w:rsid w:val="0027665F"/>
    <w:rsid w:val="00277898"/>
    <w:rsid w:val="0028102D"/>
    <w:rsid w:val="002910D3"/>
    <w:rsid w:val="00296F62"/>
    <w:rsid w:val="002B0872"/>
    <w:rsid w:val="002B186A"/>
    <w:rsid w:val="002B3C6E"/>
    <w:rsid w:val="002B48DC"/>
    <w:rsid w:val="002C0A1C"/>
    <w:rsid w:val="002C1FA8"/>
    <w:rsid w:val="002C4729"/>
    <w:rsid w:val="002D412D"/>
    <w:rsid w:val="002E6193"/>
    <w:rsid w:val="002E70A6"/>
    <w:rsid w:val="002F62DC"/>
    <w:rsid w:val="0031135D"/>
    <w:rsid w:val="003149C2"/>
    <w:rsid w:val="00322E62"/>
    <w:rsid w:val="00323294"/>
    <w:rsid w:val="003578D8"/>
    <w:rsid w:val="003637BC"/>
    <w:rsid w:val="00365DD6"/>
    <w:rsid w:val="00366D43"/>
    <w:rsid w:val="003752DD"/>
    <w:rsid w:val="00384345"/>
    <w:rsid w:val="00395014"/>
    <w:rsid w:val="0039599B"/>
    <w:rsid w:val="003A7C61"/>
    <w:rsid w:val="003B024D"/>
    <w:rsid w:val="003B0260"/>
    <w:rsid w:val="003B0280"/>
    <w:rsid w:val="003B48EF"/>
    <w:rsid w:val="003C2692"/>
    <w:rsid w:val="003D3241"/>
    <w:rsid w:val="003D3C9B"/>
    <w:rsid w:val="003D57D5"/>
    <w:rsid w:val="003D6203"/>
    <w:rsid w:val="003E5C36"/>
    <w:rsid w:val="003F2395"/>
    <w:rsid w:val="003F3367"/>
    <w:rsid w:val="003F5A94"/>
    <w:rsid w:val="0040395D"/>
    <w:rsid w:val="0040469D"/>
    <w:rsid w:val="00406A4E"/>
    <w:rsid w:val="004139FF"/>
    <w:rsid w:val="00430E72"/>
    <w:rsid w:val="00443B5C"/>
    <w:rsid w:val="00443DF1"/>
    <w:rsid w:val="0044647D"/>
    <w:rsid w:val="00455AFF"/>
    <w:rsid w:val="00466568"/>
    <w:rsid w:val="004679B6"/>
    <w:rsid w:val="00473E0D"/>
    <w:rsid w:val="00475721"/>
    <w:rsid w:val="00481A56"/>
    <w:rsid w:val="00484C17"/>
    <w:rsid w:val="0048571C"/>
    <w:rsid w:val="00487A78"/>
    <w:rsid w:val="00487E0C"/>
    <w:rsid w:val="00493FAB"/>
    <w:rsid w:val="00494429"/>
    <w:rsid w:val="004A3CBF"/>
    <w:rsid w:val="004B79D2"/>
    <w:rsid w:val="004B7D6F"/>
    <w:rsid w:val="004C1869"/>
    <w:rsid w:val="004E0F01"/>
    <w:rsid w:val="004E484D"/>
    <w:rsid w:val="004E737B"/>
    <w:rsid w:val="004F0ABE"/>
    <w:rsid w:val="004F7B6A"/>
    <w:rsid w:val="00507742"/>
    <w:rsid w:val="0051020B"/>
    <w:rsid w:val="00512DF9"/>
    <w:rsid w:val="00514DA1"/>
    <w:rsid w:val="00520B9E"/>
    <w:rsid w:val="00522265"/>
    <w:rsid w:val="00523D51"/>
    <w:rsid w:val="0054083B"/>
    <w:rsid w:val="005425BE"/>
    <w:rsid w:val="005426B9"/>
    <w:rsid w:val="00546FF7"/>
    <w:rsid w:val="0055143D"/>
    <w:rsid w:val="00552A11"/>
    <w:rsid w:val="005721E8"/>
    <w:rsid w:val="00574CA0"/>
    <w:rsid w:val="00582A9E"/>
    <w:rsid w:val="00583125"/>
    <w:rsid w:val="005854A2"/>
    <w:rsid w:val="00585516"/>
    <w:rsid w:val="00593CEF"/>
    <w:rsid w:val="00595EA8"/>
    <w:rsid w:val="00596138"/>
    <w:rsid w:val="00597274"/>
    <w:rsid w:val="005A09FB"/>
    <w:rsid w:val="005B2552"/>
    <w:rsid w:val="005B5E3C"/>
    <w:rsid w:val="005B69E6"/>
    <w:rsid w:val="005B7805"/>
    <w:rsid w:val="005C0856"/>
    <w:rsid w:val="005D469C"/>
    <w:rsid w:val="005E2CAE"/>
    <w:rsid w:val="005F188C"/>
    <w:rsid w:val="005F71E8"/>
    <w:rsid w:val="006001AF"/>
    <w:rsid w:val="00606095"/>
    <w:rsid w:val="00614578"/>
    <w:rsid w:val="00622EA6"/>
    <w:rsid w:val="006304CE"/>
    <w:rsid w:val="006328B8"/>
    <w:rsid w:val="00642096"/>
    <w:rsid w:val="0064496D"/>
    <w:rsid w:val="00661F00"/>
    <w:rsid w:val="0066694E"/>
    <w:rsid w:val="00673085"/>
    <w:rsid w:val="00681BE7"/>
    <w:rsid w:val="006840EC"/>
    <w:rsid w:val="006B0CAA"/>
    <w:rsid w:val="006D45D7"/>
    <w:rsid w:val="006D7D2B"/>
    <w:rsid w:val="006E12F3"/>
    <w:rsid w:val="006E2D44"/>
    <w:rsid w:val="006E4C3B"/>
    <w:rsid w:val="006F0ED3"/>
    <w:rsid w:val="006F16F4"/>
    <w:rsid w:val="007005F5"/>
    <w:rsid w:val="007021DC"/>
    <w:rsid w:val="00704ED7"/>
    <w:rsid w:val="00714137"/>
    <w:rsid w:val="00746651"/>
    <w:rsid w:val="00752699"/>
    <w:rsid w:val="007564C6"/>
    <w:rsid w:val="0077237E"/>
    <w:rsid w:val="00772EAA"/>
    <w:rsid w:val="0077380C"/>
    <w:rsid w:val="007765B8"/>
    <w:rsid w:val="007845F9"/>
    <w:rsid w:val="007878B4"/>
    <w:rsid w:val="007A2EFB"/>
    <w:rsid w:val="007A3786"/>
    <w:rsid w:val="007A3A3C"/>
    <w:rsid w:val="007B02BD"/>
    <w:rsid w:val="007B19E9"/>
    <w:rsid w:val="007B2DCF"/>
    <w:rsid w:val="007B451F"/>
    <w:rsid w:val="007C331D"/>
    <w:rsid w:val="007D7CE3"/>
    <w:rsid w:val="007E6C86"/>
    <w:rsid w:val="007F5B19"/>
    <w:rsid w:val="00801C49"/>
    <w:rsid w:val="00804CA1"/>
    <w:rsid w:val="00813E43"/>
    <w:rsid w:val="0082635E"/>
    <w:rsid w:val="008323AA"/>
    <w:rsid w:val="008337A5"/>
    <w:rsid w:val="00835FE0"/>
    <w:rsid w:val="00841652"/>
    <w:rsid w:val="00841762"/>
    <w:rsid w:val="00856342"/>
    <w:rsid w:val="008619F6"/>
    <w:rsid w:val="00865CFD"/>
    <w:rsid w:val="00871839"/>
    <w:rsid w:val="00873A8A"/>
    <w:rsid w:val="00873FE8"/>
    <w:rsid w:val="00891139"/>
    <w:rsid w:val="008B12CD"/>
    <w:rsid w:val="008B4EF2"/>
    <w:rsid w:val="008B7101"/>
    <w:rsid w:val="008C3E9F"/>
    <w:rsid w:val="008C67A4"/>
    <w:rsid w:val="008D6539"/>
    <w:rsid w:val="0090026D"/>
    <w:rsid w:val="009014E0"/>
    <w:rsid w:val="00901DB0"/>
    <w:rsid w:val="00902C98"/>
    <w:rsid w:val="00902E15"/>
    <w:rsid w:val="0090611C"/>
    <w:rsid w:val="009133EC"/>
    <w:rsid w:val="00925B00"/>
    <w:rsid w:val="00925EE4"/>
    <w:rsid w:val="00930A6A"/>
    <w:rsid w:val="00932FF9"/>
    <w:rsid w:val="00961D77"/>
    <w:rsid w:val="00965531"/>
    <w:rsid w:val="009670D6"/>
    <w:rsid w:val="009C4C7F"/>
    <w:rsid w:val="009C5388"/>
    <w:rsid w:val="009C5F6C"/>
    <w:rsid w:val="009D25CF"/>
    <w:rsid w:val="009E1415"/>
    <w:rsid w:val="009E2162"/>
    <w:rsid w:val="009E2ECC"/>
    <w:rsid w:val="009E5931"/>
    <w:rsid w:val="009F1DE3"/>
    <w:rsid w:val="009F35DC"/>
    <w:rsid w:val="009F6AFD"/>
    <w:rsid w:val="00A006BA"/>
    <w:rsid w:val="00A00FFB"/>
    <w:rsid w:val="00A01FC2"/>
    <w:rsid w:val="00A030EB"/>
    <w:rsid w:val="00A10028"/>
    <w:rsid w:val="00A1123F"/>
    <w:rsid w:val="00A27F53"/>
    <w:rsid w:val="00A3292F"/>
    <w:rsid w:val="00A34089"/>
    <w:rsid w:val="00A5084C"/>
    <w:rsid w:val="00A678ED"/>
    <w:rsid w:val="00A715E2"/>
    <w:rsid w:val="00A731D2"/>
    <w:rsid w:val="00A73C7F"/>
    <w:rsid w:val="00A76A65"/>
    <w:rsid w:val="00A85BDE"/>
    <w:rsid w:val="00A91E7C"/>
    <w:rsid w:val="00AA0672"/>
    <w:rsid w:val="00AA2661"/>
    <w:rsid w:val="00AA4999"/>
    <w:rsid w:val="00AA5EC8"/>
    <w:rsid w:val="00AA6337"/>
    <w:rsid w:val="00AB0759"/>
    <w:rsid w:val="00AB2D2F"/>
    <w:rsid w:val="00AD2362"/>
    <w:rsid w:val="00AE0DDE"/>
    <w:rsid w:val="00AE495C"/>
    <w:rsid w:val="00AE59F4"/>
    <w:rsid w:val="00B0555A"/>
    <w:rsid w:val="00B06D2A"/>
    <w:rsid w:val="00B071CE"/>
    <w:rsid w:val="00B13D1D"/>
    <w:rsid w:val="00B17B06"/>
    <w:rsid w:val="00B220DB"/>
    <w:rsid w:val="00B274D1"/>
    <w:rsid w:val="00B32659"/>
    <w:rsid w:val="00B46DB2"/>
    <w:rsid w:val="00B53B7C"/>
    <w:rsid w:val="00B654B4"/>
    <w:rsid w:val="00B66414"/>
    <w:rsid w:val="00B66C58"/>
    <w:rsid w:val="00B67FB9"/>
    <w:rsid w:val="00B861FE"/>
    <w:rsid w:val="00B90766"/>
    <w:rsid w:val="00BA64F9"/>
    <w:rsid w:val="00BA760F"/>
    <w:rsid w:val="00BB10BC"/>
    <w:rsid w:val="00BB6137"/>
    <w:rsid w:val="00BC08EF"/>
    <w:rsid w:val="00BC2BAE"/>
    <w:rsid w:val="00BC7C5B"/>
    <w:rsid w:val="00BD5F0D"/>
    <w:rsid w:val="00BE1BCE"/>
    <w:rsid w:val="00BE4948"/>
    <w:rsid w:val="00BF796D"/>
    <w:rsid w:val="00C04AAF"/>
    <w:rsid w:val="00C17467"/>
    <w:rsid w:val="00C223EA"/>
    <w:rsid w:val="00C26F42"/>
    <w:rsid w:val="00C4095C"/>
    <w:rsid w:val="00C5468F"/>
    <w:rsid w:val="00C7232D"/>
    <w:rsid w:val="00C72B2A"/>
    <w:rsid w:val="00C72D86"/>
    <w:rsid w:val="00C74E83"/>
    <w:rsid w:val="00C755FC"/>
    <w:rsid w:val="00C825AD"/>
    <w:rsid w:val="00C85F15"/>
    <w:rsid w:val="00C93887"/>
    <w:rsid w:val="00C94E92"/>
    <w:rsid w:val="00CA1767"/>
    <w:rsid w:val="00CA410E"/>
    <w:rsid w:val="00CB0160"/>
    <w:rsid w:val="00CB04BA"/>
    <w:rsid w:val="00CC5953"/>
    <w:rsid w:val="00CC6BB9"/>
    <w:rsid w:val="00CC77EE"/>
    <w:rsid w:val="00CD4113"/>
    <w:rsid w:val="00CD4791"/>
    <w:rsid w:val="00CD4955"/>
    <w:rsid w:val="00CD7648"/>
    <w:rsid w:val="00CF40C5"/>
    <w:rsid w:val="00CF53A1"/>
    <w:rsid w:val="00D0758A"/>
    <w:rsid w:val="00D27307"/>
    <w:rsid w:val="00D307FE"/>
    <w:rsid w:val="00D3437F"/>
    <w:rsid w:val="00D36F4F"/>
    <w:rsid w:val="00D40191"/>
    <w:rsid w:val="00D46CBE"/>
    <w:rsid w:val="00D47B88"/>
    <w:rsid w:val="00D57B6E"/>
    <w:rsid w:val="00D57FFC"/>
    <w:rsid w:val="00D6467E"/>
    <w:rsid w:val="00D715AE"/>
    <w:rsid w:val="00D7637B"/>
    <w:rsid w:val="00D77A9A"/>
    <w:rsid w:val="00D80227"/>
    <w:rsid w:val="00D900BD"/>
    <w:rsid w:val="00D92AF3"/>
    <w:rsid w:val="00D94226"/>
    <w:rsid w:val="00DA1372"/>
    <w:rsid w:val="00DA1AFC"/>
    <w:rsid w:val="00DA5244"/>
    <w:rsid w:val="00DB6B4D"/>
    <w:rsid w:val="00DC3224"/>
    <w:rsid w:val="00DE4CAC"/>
    <w:rsid w:val="00DF0A32"/>
    <w:rsid w:val="00DF3F39"/>
    <w:rsid w:val="00DF4ACA"/>
    <w:rsid w:val="00DF6ABD"/>
    <w:rsid w:val="00E057B9"/>
    <w:rsid w:val="00E179B3"/>
    <w:rsid w:val="00E267E1"/>
    <w:rsid w:val="00E27EE7"/>
    <w:rsid w:val="00E35037"/>
    <w:rsid w:val="00E43B81"/>
    <w:rsid w:val="00E44A60"/>
    <w:rsid w:val="00E52B85"/>
    <w:rsid w:val="00E57FE0"/>
    <w:rsid w:val="00E64205"/>
    <w:rsid w:val="00E70F8D"/>
    <w:rsid w:val="00E7242B"/>
    <w:rsid w:val="00E80430"/>
    <w:rsid w:val="00E85832"/>
    <w:rsid w:val="00E85EC7"/>
    <w:rsid w:val="00E91790"/>
    <w:rsid w:val="00EA386E"/>
    <w:rsid w:val="00EB73F6"/>
    <w:rsid w:val="00ED6F22"/>
    <w:rsid w:val="00EF3BC1"/>
    <w:rsid w:val="00EF535E"/>
    <w:rsid w:val="00EF5B71"/>
    <w:rsid w:val="00F05101"/>
    <w:rsid w:val="00F21347"/>
    <w:rsid w:val="00F229E6"/>
    <w:rsid w:val="00F23B6E"/>
    <w:rsid w:val="00F328E9"/>
    <w:rsid w:val="00F3340A"/>
    <w:rsid w:val="00F36C8C"/>
    <w:rsid w:val="00F36F97"/>
    <w:rsid w:val="00F3706F"/>
    <w:rsid w:val="00F37267"/>
    <w:rsid w:val="00F746EB"/>
    <w:rsid w:val="00F80595"/>
    <w:rsid w:val="00F979B1"/>
    <w:rsid w:val="00FB2EA2"/>
    <w:rsid w:val="00FC0BDA"/>
    <w:rsid w:val="00FD1B4A"/>
    <w:rsid w:val="00FD2537"/>
    <w:rsid w:val="00FD448F"/>
    <w:rsid w:val="00FD5C8C"/>
    <w:rsid w:val="00FD65B9"/>
    <w:rsid w:val="00FE2E9B"/>
    <w:rsid w:val="00FE5093"/>
    <w:rsid w:val="00FF1BCC"/>
    <w:rsid w:val="121F0942"/>
    <w:rsid w:val="20906A51"/>
    <w:rsid w:val="2A563A6E"/>
    <w:rsid w:val="31732286"/>
    <w:rsid w:val="7D2A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批注框文本 Char"/>
    <w:basedOn w:val="7"/>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47360-D84E-46FC-9364-2F76A28233A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1674</Words>
  <Characters>9544</Characters>
  <Lines>79</Lines>
  <Paragraphs>22</Paragraphs>
  <TotalTime>3</TotalTime>
  <ScaleCrop>false</ScaleCrop>
  <LinksUpToDate>false</LinksUpToDate>
  <CharactersWithSpaces>11196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2022-03-06T08:25:00Z</dcterms:created>
  <dc:creator>周晖</dc:creator>
  <cp:lastModifiedBy>吴敏</cp:lastModifiedBy>
  <cp:lastPrinted>2022-03-30T09:41:00Z</cp:lastPrinted>
  <dcterms:modified xsi:type="dcterms:W3CDTF">2022-04-06T01:27:18Z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