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spacing w:line="580" w:lineRule="exact"/>
        <w:jc w:val="left"/>
        <w:rPr>
          <w:rFonts w:ascii="黑体" w:hAnsi="黑体" w:eastAsia="黑体" w:cs="仿宋_GB2312"/>
          <w:bCs/>
          <w:sz w:val="32"/>
          <w:szCs w:val="32"/>
        </w:rPr>
      </w:pPr>
      <w:bookmarkStart w:id="0" w:name="_GoBack"/>
      <w:bookmarkEnd w:id="0"/>
      <w:r>
        <w:rPr>
          <w:rFonts w:hint="eastAsia" w:ascii="黑体" w:hAnsi="黑体" w:eastAsia="黑体" w:cs="仿宋_GB2312"/>
          <w:bCs/>
          <w:sz w:val="32"/>
          <w:szCs w:val="32"/>
        </w:rPr>
        <w:t>附件</w:t>
      </w:r>
      <w:r>
        <w:rPr>
          <w:rFonts w:ascii="黑体" w:hAnsi="黑体" w:eastAsia="黑体" w:cs="仿宋_GB2312"/>
          <w:bCs/>
          <w:sz w:val="32"/>
          <w:szCs w:val="32"/>
        </w:rPr>
        <w:t>2</w:t>
      </w:r>
    </w:p>
    <w:p>
      <w:pPr>
        <w:overflowPunct w:val="0"/>
        <w:spacing w:line="580" w:lineRule="exact"/>
        <w:jc w:val="left"/>
        <w:rPr>
          <w:rFonts w:ascii="黑体" w:hAnsi="黑体" w:eastAsia="黑体" w:cs="仿宋_GB2312"/>
          <w:bCs/>
          <w:sz w:val="32"/>
          <w:szCs w:val="32"/>
        </w:rPr>
      </w:pPr>
    </w:p>
    <w:p>
      <w:pPr>
        <w:overflowPunct w:val="0"/>
        <w:spacing w:line="58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省级行政事业性国有资产清查</w:t>
      </w:r>
    </w:p>
    <w:p>
      <w:pPr>
        <w:overflowPunct w:val="0"/>
        <w:spacing w:line="580" w:lineRule="exact"/>
        <w:jc w:val="center"/>
        <w:rPr>
          <w:rFonts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Cs/>
          <w:sz w:val="44"/>
          <w:szCs w:val="44"/>
        </w:rPr>
        <w:t>核实报表编报说明</w:t>
      </w:r>
    </w:p>
    <w:p>
      <w:pPr>
        <w:pStyle w:val="2"/>
        <w:overflowPunct w:val="0"/>
        <w:spacing w:before="0" w:after="0" w:line="580" w:lineRule="exact"/>
        <w:jc w:val="center"/>
        <w:rPr>
          <w:rFonts w:ascii="方正小标宋简体" w:hAnsi="方正小标宋简体" w:eastAsia="方正小标宋简体" w:cs="方正小标宋简体"/>
          <w:b w:val="0"/>
          <w:bCs w:val="0"/>
          <w:sz w:val="32"/>
          <w:szCs w:val="32"/>
        </w:rPr>
      </w:pPr>
    </w:p>
    <w:p>
      <w:pPr>
        <w:pStyle w:val="2"/>
        <w:overflowPunct w:val="0"/>
        <w:spacing w:before="0" w:after="0" w:line="580" w:lineRule="exact"/>
        <w:jc w:val="center"/>
        <w:rPr>
          <w:rFonts w:ascii="黑体" w:hAnsi="黑体" w:eastAsia="黑体" w:cs="方正小标宋简体"/>
          <w:b w:val="0"/>
          <w:bCs w:val="0"/>
          <w:sz w:val="32"/>
          <w:szCs w:val="32"/>
        </w:rPr>
      </w:pPr>
      <w:r>
        <w:rPr>
          <w:rFonts w:hint="eastAsia" w:ascii="黑体" w:hAnsi="黑体" w:eastAsia="黑体" w:cs="方正小标宋简体"/>
          <w:b w:val="0"/>
          <w:bCs w:val="0"/>
          <w:sz w:val="32"/>
          <w:szCs w:val="32"/>
        </w:rPr>
        <w:t>第一部分</w:t>
      </w:r>
      <w:r>
        <w:rPr>
          <w:rFonts w:ascii="黑体" w:hAnsi="黑体" w:eastAsia="黑体" w:cs="方正小标宋简体"/>
          <w:b w:val="0"/>
          <w:bCs w:val="0"/>
          <w:sz w:val="32"/>
          <w:szCs w:val="32"/>
        </w:rPr>
        <w:t xml:space="preserve">  </w:t>
      </w:r>
      <w:r>
        <w:rPr>
          <w:rFonts w:hint="eastAsia" w:ascii="黑体" w:hAnsi="黑体" w:eastAsia="黑体" w:cs="方正小标宋简体"/>
          <w:b w:val="0"/>
          <w:bCs w:val="0"/>
          <w:sz w:val="32"/>
          <w:szCs w:val="32"/>
        </w:rPr>
        <w:t>封面</w:t>
      </w:r>
    </w:p>
    <w:p>
      <w:pPr>
        <w:overflowPunct w:val="0"/>
        <w:spacing w:line="580" w:lineRule="exact"/>
        <w:rPr>
          <w:rFonts w:ascii="黑体" w:hAnsi="黑体" w:eastAsia="黑体"/>
          <w:sz w:val="32"/>
          <w:szCs w:val="32"/>
        </w:rPr>
      </w:pPr>
      <w:r>
        <w:rPr>
          <w:sz w:val="32"/>
          <w:szCs w:val="32"/>
        </w:rPr>
        <w:t xml:space="preserve"> </w:t>
      </w:r>
    </w:p>
    <w:p>
      <w:pPr>
        <w:pStyle w:val="4"/>
        <w:overflowPunct w:val="0"/>
        <w:spacing w:line="580" w:lineRule="exact"/>
        <w:ind w:firstLine="640"/>
        <w:rPr>
          <w:rFonts w:ascii="仿宋_GB2312" w:hAnsi="仿宋" w:eastAsia="仿宋_GB2312"/>
          <w:color w:val="auto"/>
          <w:spacing w:val="4"/>
          <w:sz w:val="32"/>
          <w:szCs w:val="32"/>
        </w:rPr>
      </w:pPr>
      <w:r>
        <w:rPr>
          <w:rFonts w:ascii="仿宋_GB2312" w:hAnsi="仿宋" w:eastAsia="仿宋_GB2312"/>
          <w:color w:val="auto"/>
          <w:sz w:val="32"/>
          <w:szCs w:val="32"/>
        </w:rPr>
        <w:t>1.</w:t>
      </w:r>
      <w:r>
        <w:rPr>
          <w:rFonts w:hint="eastAsia" w:ascii="仿宋_GB2312" w:hAnsi="仿宋" w:eastAsia="仿宋_GB2312"/>
          <w:color w:val="auto"/>
          <w:spacing w:val="4"/>
          <w:sz w:val="32"/>
          <w:szCs w:val="32"/>
        </w:rPr>
        <w:t>单位名称：填列单位全称，并加盖单位公章。行政事业单位主管部门填列本级报表时，应在单位名称后加注“（本级）”。</w:t>
      </w:r>
    </w:p>
    <w:p>
      <w:pPr>
        <w:pStyle w:val="4"/>
        <w:overflowPunct w:val="0"/>
        <w:spacing w:line="580" w:lineRule="exact"/>
        <w:ind w:firstLine="656"/>
        <w:rPr>
          <w:rFonts w:ascii="仿宋_GB2312" w:hAnsi="仿宋" w:eastAsia="仿宋_GB2312"/>
          <w:color w:val="auto"/>
          <w:sz w:val="32"/>
          <w:szCs w:val="32"/>
        </w:rPr>
      </w:pPr>
      <w:r>
        <w:rPr>
          <w:rFonts w:ascii="仿宋_GB2312" w:hAnsi="仿宋" w:eastAsia="仿宋_GB2312"/>
          <w:color w:val="auto"/>
          <w:spacing w:val="4"/>
          <w:sz w:val="32"/>
          <w:szCs w:val="32"/>
        </w:rPr>
        <w:t>2.单位负责人、单位分管负责人、资产管理负责人、填表人、电话号码、手机号码、单位地址、报送日期：按照实际情况填列，其中资产管理负责人是指具体承担资产管理职责部门的负责人。</w:t>
      </w:r>
      <w:r>
        <w:rPr>
          <w:rFonts w:ascii="仿宋_GB2312" w:hAnsi="仿宋" w:eastAsia="仿宋_GB2312"/>
          <w:color w:val="auto"/>
          <w:sz w:val="32"/>
          <w:szCs w:val="32"/>
        </w:rPr>
        <w:t xml:space="preserve"> </w:t>
      </w:r>
    </w:p>
    <w:p>
      <w:pPr>
        <w:pStyle w:val="4"/>
        <w:overflowPunct w:val="0"/>
        <w:spacing w:line="580" w:lineRule="exact"/>
        <w:ind w:firstLine="640"/>
        <w:rPr>
          <w:rFonts w:ascii="仿宋_GB2312" w:hAnsi="仿宋" w:eastAsia="仿宋_GB2312"/>
          <w:color w:val="auto"/>
          <w:sz w:val="32"/>
          <w:szCs w:val="32"/>
        </w:rPr>
      </w:pPr>
      <w:r>
        <w:rPr>
          <w:rFonts w:ascii="仿宋_GB2312" w:hAnsi="仿宋" w:eastAsia="仿宋_GB2312"/>
          <w:color w:val="auto"/>
          <w:sz w:val="32"/>
          <w:szCs w:val="32"/>
        </w:rPr>
        <w:t>3.统一社会信用代码（组织机构代码）：依据各级技术监督部门核发的组织机构代码证书规定的代码填列。尚未领取组织机构代码的单位，应主动与技术监督部门联系办理核发手续，并编报临时代码。</w:t>
      </w:r>
    </w:p>
    <w:p>
      <w:pPr>
        <w:pStyle w:val="5"/>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4.财政预算代码：按照单位的财政预算编码填列。</w:t>
      </w:r>
    </w:p>
    <w:p>
      <w:pPr>
        <w:pStyle w:val="5"/>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5.单位所在地区：反映单位实际所在地，依据国家标准《中华人民共和国行政区划代码》</w:t>
      </w:r>
      <w:r>
        <w:rPr>
          <w:rFonts w:hint="eastAsia" w:ascii="仿宋_GB2312" w:hAnsi="仿宋" w:eastAsia="仿宋_GB2312"/>
          <w:bCs/>
          <w:sz w:val="32"/>
          <w:szCs w:val="32"/>
        </w:rPr>
        <w:t>（</w:t>
      </w:r>
      <w:r>
        <w:rPr>
          <w:rFonts w:ascii="仿宋_GB2312" w:hAnsi="仿宋" w:eastAsia="仿宋_GB2312"/>
          <w:bCs/>
          <w:sz w:val="32"/>
          <w:szCs w:val="32"/>
        </w:rPr>
        <w:t>GB/T2260-2007</w:t>
      </w:r>
      <w:r>
        <w:rPr>
          <w:rFonts w:hint="eastAsia" w:ascii="仿宋_GB2312" w:hAnsi="仿宋" w:eastAsia="仿宋_GB2312"/>
          <w:b/>
          <w:bCs/>
          <w:sz w:val="32"/>
          <w:szCs w:val="32"/>
        </w:rPr>
        <w:t>）</w:t>
      </w:r>
      <w:r>
        <w:rPr>
          <w:rFonts w:hint="eastAsia" w:ascii="仿宋_GB2312" w:hAnsi="仿宋" w:eastAsia="仿宋_GB2312"/>
          <w:sz w:val="32"/>
          <w:szCs w:val="32"/>
        </w:rPr>
        <w:t>填列。</w:t>
      </w:r>
    </w:p>
    <w:p>
      <w:pPr>
        <w:pStyle w:val="5"/>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6.单位执行会计制度：政府会计制度。主管部门汇总所属单位报表时不填列本项。</w:t>
      </w:r>
    </w:p>
    <w:p>
      <w:pPr>
        <w:pStyle w:val="5"/>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7.单位基本性质：依据政府编制管理部门确定的单位性质，根据共产党机关、政府机关、人大机关、政协机关、群众团体、民主党派、政法机关、参照公务员法管理的事业单位、财政补助事业单位填列。主管部门、各级财政部门编报汇总报表时不填列本项。</w:t>
      </w:r>
    </w:p>
    <w:p>
      <w:pPr>
        <w:overflowPunct w:val="0"/>
        <w:spacing w:line="580" w:lineRule="exact"/>
        <w:ind w:firstLine="640" w:firstLineChars="200"/>
        <w:jc w:val="left"/>
        <w:rPr>
          <w:rFonts w:ascii="仿宋_GB2312" w:hAnsi="仿宋" w:eastAsia="仿宋_GB2312"/>
          <w:sz w:val="32"/>
          <w:szCs w:val="32"/>
        </w:rPr>
      </w:pPr>
      <w:r>
        <w:rPr>
          <w:rFonts w:ascii="仿宋_GB2312" w:hAnsi="仿宋" w:eastAsia="仿宋_GB2312"/>
          <w:sz w:val="32"/>
          <w:szCs w:val="32"/>
        </w:rPr>
        <w:t>8.独立核算机构数：填列经政府编制管理部门批准成立且财务独立核算的行政事业单位机构数。</w:t>
      </w:r>
    </w:p>
    <w:p>
      <w:pPr>
        <w:overflowPunct w:val="0"/>
        <w:spacing w:line="580" w:lineRule="exact"/>
        <w:ind w:firstLine="640" w:firstLineChars="200"/>
        <w:jc w:val="center"/>
        <w:rPr>
          <w:rFonts w:ascii="黑体" w:hAnsi="黑体" w:eastAsia="黑体"/>
          <w:sz w:val="32"/>
          <w:szCs w:val="32"/>
        </w:rPr>
      </w:pPr>
    </w:p>
    <w:p>
      <w:pPr>
        <w:overflowPunct w:val="0"/>
        <w:spacing w:line="580" w:lineRule="exact"/>
        <w:ind w:firstLine="2240" w:firstLineChars="700"/>
        <w:rPr>
          <w:rFonts w:ascii="黑体" w:hAnsi="黑体" w:eastAsia="黑体"/>
          <w:sz w:val="32"/>
          <w:szCs w:val="32"/>
        </w:rPr>
      </w:pPr>
      <w:r>
        <w:rPr>
          <w:rFonts w:hint="eastAsia" w:ascii="黑体" w:hAnsi="黑体" w:eastAsia="黑体"/>
          <w:sz w:val="32"/>
          <w:szCs w:val="32"/>
        </w:rPr>
        <w:t>第二部分</w:t>
      </w:r>
      <w:r>
        <w:rPr>
          <w:rFonts w:ascii="黑体" w:hAnsi="黑体" w:eastAsia="黑体"/>
          <w:sz w:val="32"/>
          <w:szCs w:val="32"/>
        </w:rPr>
        <w:t xml:space="preserve">  </w:t>
      </w:r>
      <w:r>
        <w:rPr>
          <w:rFonts w:hint="eastAsia" w:ascii="黑体" w:hAnsi="黑体" w:eastAsia="黑体"/>
          <w:sz w:val="32"/>
          <w:szCs w:val="32"/>
        </w:rPr>
        <w:t>办公用房基本情况表</w:t>
      </w:r>
    </w:p>
    <w:p>
      <w:pPr>
        <w:overflowPunct w:val="0"/>
        <w:spacing w:line="580" w:lineRule="exact"/>
        <w:ind w:firstLine="640" w:firstLineChars="200"/>
        <w:jc w:val="center"/>
        <w:rPr>
          <w:rFonts w:ascii="黑体" w:hAnsi="黑体" w:eastAsia="黑体"/>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本表填报行政事业单位清查基准日占有、使用的房产信息，包含办公用房和其他房产，不含公有住房。应入账而尚未入账办公用房、不具备入账条件办公用房、</w:t>
      </w:r>
      <w:r>
        <w:rPr>
          <w:rFonts w:hint="eastAsia" w:ascii="仿宋_GB2312" w:hAnsi="仿宋" w:eastAsia="仿宋_GB2312"/>
          <w:sz w:val="32"/>
          <w:szCs w:val="32"/>
          <w:lang w:val="zh-CN"/>
        </w:rPr>
        <w:t>已投入使用的在建工程未转固房产</w:t>
      </w:r>
      <w:r>
        <w:rPr>
          <w:rFonts w:hint="eastAsia" w:ascii="仿宋_GB2312" w:hAnsi="仿宋" w:eastAsia="仿宋_GB2312"/>
          <w:sz w:val="32"/>
          <w:szCs w:val="32"/>
        </w:rPr>
        <w:t>等均需填列。</w:t>
      </w: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办公用房指保障行政事业单位正常运行以及事业单位正常事业发展需要设置的基本工作场所。行政单位包括办公室、服务用房、设备用房、附属用房、业务用房；事业单位包括办公室、服务用房、设备用房、附属用房、业务用房、生产性用房、仓储性用房等。</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r>
        <w:rPr>
          <w:rFonts w:ascii="楷体" w:hAnsi="楷体" w:eastAsia="楷体" w:cs="楷体"/>
          <w:sz w:val="32"/>
          <w:szCs w:val="32"/>
        </w:rPr>
        <w:t>:</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3.房产名称（栏3）：填列房产的具体名称。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4.房产坐落地址（栏4）：按照该项房产的具体地址填列，标准格式为xx省xx市xx区xx</w:t>
      </w:r>
      <w:r>
        <w:rPr>
          <w:rFonts w:hint="eastAsia" w:ascii="仿宋_GB2312" w:hAnsi="仿宋" w:eastAsia="仿宋_GB2312"/>
          <w:sz w:val="32"/>
          <w:szCs w:val="32"/>
        </w:rPr>
        <w:t>街道（路）</w:t>
      </w:r>
      <w:r>
        <w:rPr>
          <w:rFonts w:ascii="仿宋_GB2312" w:hAnsi="仿宋" w:eastAsia="仿宋_GB2312"/>
          <w:bCs/>
          <w:sz w:val="32"/>
          <w:szCs w:val="32"/>
        </w:rPr>
        <w:t>xx号。</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5.房产用途和类别（栏5）：分为办公用房和其他。按照办公用房-办公室、服务用房、设备用房、附属用房、服务性用房、业务用房、生产性用房、仓储性用房等填列。如果无法归类至办公用房的，请填列其他，并说明原因。</w:t>
      </w:r>
    </w:p>
    <w:p>
      <w:pPr>
        <w:overflowPunct w:val="0"/>
        <w:spacing w:line="580" w:lineRule="exact"/>
        <w:ind w:firstLine="600"/>
        <w:rPr>
          <w:rFonts w:ascii="仿宋_GB2312" w:hAnsi="仿宋" w:eastAsia="仿宋_GB2312"/>
          <w:sz w:val="32"/>
          <w:szCs w:val="32"/>
        </w:rPr>
      </w:pPr>
      <w:r>
        <w:rPr>
          <w:rFonts w:ascii="仿宋_GB2312" w:hAnsi="仿宋" w:eastAsia="仿宋_GB2312"/>
          <w:bCs/>
          <w:sz w:val="32"/>
          <w:szCs w:val="32"/>
        </w:rPr>
        <w:t>6.产权是</w:t>
      </w:r>
      <w:r>
        <w:rPr>
          <w:rFonts w:hint="eastAsia" w:ascii="仿宋_GB2312" w:hAnsi="仿宋" w:eastAsia="仿宋_GB2312"/>
          <w:sz w:val="32"/>
          <w:szCs w:val="32"/>
        </w:rPr>
        <w:t>否清晰</w:t>
      </w:r>
      <w:r>
        <w:rPr>
          <w:rFonts w:hint="eastAsia" w:ascii="仿宋_GB2312" w:hAnsi="仿宋" w:eastAsia="仿宋_GB2312"/>
          <w:bCs/>
          <w:sz w:val="32"/>
          <w:szCs w:val="32"/>
        </w:rPr>
        <w:t>（栏</w:t>
      </w:r>
      <w:r>
        <w:rPr>
          <w:rFonts w:ascii="仿宋_GB2312" w:hAnsi="仿宋" w:eastAsia="仿宋_GB2312"/>
          <w:bCs/>
          <w:sz w:val="32"/>
          <w:szCs w:val="32"/>
        </w:rPr>
        <w:t>6）</w:t>
      </w:r>
      <w:r>
        <w:rPr>
          <w:rFonts w:hint="eastAsia" w:ascii="仿宋_GB2312" w:hAnsi="仿宋" w:eastAsia="仿宋_GB2312"/>
          <w:sz w:val="32"/>
          <w:szCs w:val="32"/>
        </w:rPr>
        <w:t>：根据单位房产产权是否清晰进行填列；凡填列“否”的，需说明原因。</w:t>
      </w:r>
    </w:p>
    <w:p>
      <w:pPr>
        <w:overflowPunct w:val="0"/>
        <w:spacing w:line="580" w:lineRule="exact"/>
        <w:ind w:firstLine="600"/>
        <w:rPr>
          <w:rFonts w:ascii="仿宋_GB2312" w:hAnsi="仿宋" w:eastAsia="仿宋_GB2312"/>
          <w:sz w:val="32"/>
          <w:szCs w:val="32"/>
        </w:rPr>
      </w:pPr>
      <w:r>
        <w:rPr>
          <w:rFonts w:ascii="仿宋_GB2312" w:hAnsi="仿宋" w:eastAsia="仿宋_GB2312"/>
          <w:sz w:val="32"/>
          <w:szCs w:val="32"/>
        </w:rPr>
        <w:t>7.</w:t>
      </w:r>
      <w:r>
        <w:rPr>
          <w:rFonts w:hint="eastAsia" w:ascii="仿宋_GB2312" w:hAnsi="仿宋" w:eastAsia="仿宋_GB2312"/>
          <w:bCs/>
          <w:sz w:val="32"/>
          <w:szCs w:val="32"/>
        </w:rPr>
        <w:t>权属信息（栏</w:t>
      </w:r>
      <w:r>
        <w:rPr>
          <w:rFonts w:ascii="仿宋_GB2312" w:hAnsi="仿宋" w:eastAsia="仿宋_GB2312"/>
          <w:bCs/>
          <w:sz w:val="32"/>
          <w:szCs w:val="32"/>
        </w:rPr>
        <w:t>7-栏10）（权属单位、发证日期、</w:t>
      </w:r>
      <w:r>
        <w:rPr>
          <w:rFonts w:hint="eastAsia" w:ascii="仿宋_GB2312" w:hAnsi="仿宋" w:eastAsia="仿宋_GB2312"/>
          <w:bCs/>
          <w:sz w:val="32"/>
          <w:szCs w:val="32"/>
        </w:rPr>
        <w:t>权属证号、证载面积）：按照权证实际情况填列。</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8.使用状况（面积）（栏11-栏16）：需对应本单位占用、其他单位占用、闲置、出租出借、对外投资、待处置的房屋用途进行填列，计量单位为平方米。对外投资需写明被投资单位、占有股份及投资收益等信息。待处置需说明待处置原因。栏10=栏11+栏12+栏13+栏14+栏15+栏16。无有效证件的，若能获得面积信息可填列，无法可获得可不填列但需进行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9.出租/出借情况（栏17-栏21）：填列房产承租人或承借方单位名称，租赁、出借合同及期限，租金、利息金额等信息。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10.是否担保、抵押、质押、诉讼（栏22）：填列是否涉及担保、抵押、质押、诉讼等情况。凡担保抵押质押房产的，需对被担保抵押质押单位名称、性质、与本单位关系，担保抵押质押起止时间、担保抵押质押金额或贷款金额、</w:t>
      </w:r>
      <w:r>
        <w:rPr>
          <w:rFonts w:hint="eastAsia" w:ascii="仿宋_GB2312" w:hAnsi="仿宋" w:eastAsia="仿宋_GB2312"/>
          <w:bCs/>
          <w:sz w:val="32"/>
          <w:szCs w:val="32"/>
        </w:rPr>
        <w:t>未偿还金额进行说明。凡涉及诉讼的房产，诉讼情况需进行详细说明。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11.是否入账（栏23）：填列“是”或“否”。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12.价值类型（栏24）：填列入账价值类型，如历史成本、重置成本、评估成本、名义成本等。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13.账面原值（栏25）：填列原始入账价值，计量单位为元。凡无法填列的需说明原因。</w:t>
      </w:r>
    </w:p>
    <w:p>
      <w:pPr>
        <w:overflowPunct w:val="0"/>
        <w:spacing w:line="580" w:lineRule="exact"/>
        <w:ind w:firstLine="600"/>
        <w:jc w:val="left"/>
        <w:rPr>
          <w:rFonts w:ascii="仿宋_GB2312" w:hAnsi="仿宋" w:eastAsia="仿宋_GB2312"/>
          <w:bCs/>
          <w:sz w:val="32"/>
          <w:szCs w:val="32"/>
        </w:rPr>
      </w:pPr>
      <w:r>
        <w:rPr>
          <w:rFonts w:ascii="仿宋_GB2312" w:hAnsi="仿宋" w:eastAsia="仿宋_GB2312"/>
          <w:bCs/>
          <w:sz w:val="32"/>
          <w:szCs w:val="32"/>
        </w:rPr>
        <w:t>14.损溢类型（栏26）：按照无、盘盈、盘亏据实填列，盘盈、盘亏事项需说明原因。</w:t>
      </w:r>
    </w:p>
    <w:p>
      <w:pPr>
        <w:overflowPunct w:val="0"/>
        <w:spacing w:line="580" w:lineRule="exact"/>
        <w:ind w:firstLine="1920" w:firstLineChars="600"/>
        <w:rPr>
          <w:rFonts w:ascii="黑体" w:hAnsi="黑体" w:eastAsia="黑体"/>
          <w:sz w:val="32"/>
          <w:szCs w:val="32"/>
        </w:rPr>
      </w:pPr>
    </w:p>
    <w:p>
      <w:pPr>
        <w:overflowPunct w:val="0"/>
        <w:spacing w:line="580" w:lineRule="exact"/>
        <w:ind w:firstLine="1920" w:firstLineChars="600"/>
        <w:rPr>
          <w:rFonts w:ascii="黑体" w:hAnsi="黑体" w:eastAsia="黑体"/>
          <w:sz w:val="32"/>
          <w:szCs w:val="32"/>
        </w:rPr>
      </w:pPr>
      <w:r>
        <w:rPr>
          <w:rFonts w:hint="eastAsia" w:ascii="黑体" w:hAnsi="黑体" w:eastAsia="黑体"/>
          <w:sz w:val="32"/>
          <w:szCs w:val="32"/>
        </w:rPr>
        <w:t>第三部分</w:t>
      </w:r>
      <w:r>
        <w:rPr>
          <w:rFonts w:ascii="黑体" w:hAnsi="黑体" w:eastAsia="黑体"/>
          <w:sz w:val="32"/>
          <w:szCs w:val="32"/>
        </w:rPr>
        <w:t xml:space="preserve">  </w:t>
      </w:r>
      <w:r>
        <w:rPr>
          <w:rFonts w:hint="eastAsia" w:ascii="黑体" w:hAnsi="黑体" w:eastAsia="黑体"/>
          <w:sz w:val="32"/>
          <w:szCs w:val="32"/>
        </w:rPr>
        <w:t>公有住房基本情况表</w:t>
      </w:r>
    </w:p>
    <w:p>
      <w:pPr>
        <w:overflowPunct w:val="0"/>
        <w:spacing w:line="580" w:lineRule="exact"/>
        <w:ind w:firstLine="1920" w:firstLineChars="600"/>
        <w:rPr>
          <w:rFonts w:ascii="黑体" w:hAnsi="黑体" w:eastAsia="黑体"/>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本表填报行政事业单位清查基准日占有、使用的存量公有住房信息，应入账而尚未入账公有住房、不具备入账条件公有住房等均需填列。</w:t>
      </w: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公有住房指由省政府以及其他行政事业单位组织建设或以改造、购置、置换等方式取得的住房，比如周转房、未出售的房改房等。</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3.房产名称（栏3）：填列房产的具体名称。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4.房产坐落地址（栏4）：按照该项房产的具体地址填列，需准确至房间号，标准格式为xx省xx市xx区xx街道（路）xx号xx楼xx单元xx室。</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5.房产属性（栏5）：按物理属性分为楼房、简易楼房、平房、门头房、地下室、储藏室、车位、车库、阁楼、其他。</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6.产权是否清晰（栏6）：根据单位房产产权是否清晰进行填列；凡填列“否”的，需说明原因。</w:t>
      </w:r>
    </w:p>
    <w:p>
      <w:pPr>
        <w:overflowPunct w:val="0"/>
        <w:spacing w:line="580" w:lineRule="exact"/>
        <w:ind w:firstLine="600"/>
        <w:rPr>
          <w:rFonts w:ascii="仿宋_GB2312" w:hAnsi="仿宋" w:eastAsia="仿宋_GB2312"/>
          <w:sz w:val="32"/>
          <w:szCs w:val="32"/>
        </w:rPr>
      </w:pPr>
      <w:r>
        <w:rPr>
          <w:rFonts w:ascii="仿宋_GB2312" w:hAnsi="仿宋" w:eastAsia="仿宋_GB2312"/>
          <w:bCs/>
          <w:sz w:val="32"/>
          <w:szCs w:val="32"/>
        </w:rPr>
        <w:t>7.权属信息（栏7-栏11）（权属单位、发证日期、</w:t>
      </w:r>
      <w:r>
        <w:rPr>
          <w:rFonts w:hint="eastAsia" w:ascii="仿宋_GB2312" w:hAnsi="仿宋" w:eastAsia="仿宋_GB2312"/>
          <w:bCs/>
          <w:sz w:val="32"/>
          <w:szCs w:val="32"/>
        </w:rPr>
        <w:t>权属证号、证载面积、证载套数）：按照权证实际情况填列。</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8.使用状况（栏12-栏22）：需对应周转使用、职工租赁、职工无偿使用、职工借用占用、非职工借用占用、闲置、已参改未办证、房产证办理中、集体宿舍、非居住使用、其他进行填列，按使用现状区分，计量单位为平方米。其中：周转使用指经省机关事务局审批同意周转使用的住房，未经省机关事务局审批备案的不属此类；职工</w:t>
      </w:r>
      <w:r>
        <w:rPr>
          <w:rFonts w:hint="eastAsia" w:ascii="仿宋_GB2312" w:hAnsi="仿宋" w:eastAsia="仿宋_GB2312"/>
          <w:bCs/>
          <w:sz w:val="32"/>
          <w:szCs w:val="32"/>
        </w:rPr>
        <w:t>租赁指住房产权单位或管理使用单位同意承租人使用并收取租金的住房；职工借用指经住房产权单位或管理使用单位同意并履行借用手续的住房；职工占用指未经住房产权单位或管理使用单位授权私自占有的住房；非职工借用占用指非本单位职工占用借用住房；职工无偿使用指由住房产权单位或管理使用单位正常分配，未收取租金的住房；已参改未办证指办理房改购房交款手续后，又发现其他不合规购房情形，待整改落实的住房；房产证办理中指符合房改政策规定，已履行房改购房交款手续的住房；集体宿舍指经住房产权单位或管理使用单位同意，套内由</w:t>
      </w:r>
      <w:r>
        <w:rPr>
          <w:rFonts w:ascii="仿宋_GB2312" w:hAnsi="仿宋" w:eastAsia="仿宋_GB2312"/>
          <w:bCs/>
          <w:sz w:val="32"/>
          <w:szCs w:val="32"/>
        </w:rPr>
        <w:t>2个及以上不同家庭人员共同居住的住房；非居住使用指经产权单位或管理使用单位同意用作办公、库房、活动室、传达等用途的住房，应注明实际用途；其他指独立于上述使用情形之外，需单独说明的住房。栏10=栏12+栏13+栏14+栏15+栏16+栏17+栏18+栏19+栏20+栏21+栏22。无有效证件的，若能获得面积信息可填列，无法获得可不填列但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9.出租/出借情况（栏23-栏27）：填列房产承租人或承借方单位名称，租赁、出借合同及期限，租金、利息金额等信息。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10.</w:t>
      </w:r>
      <w:r>
        <w:rPr>
          <w:rFonts w:hint="eastAsia" w:ascii="仿宋_GB2312" w:hAnsi="仿宋" w:eastAsia="仿宋_GB2312"/>
          <w:bCs/>
          <w:spacing w:val="4"/>
          <w:sz w:val="32"/>
          <w:szCs w:val="32"/>
        </w:rPr>
        <w:t>是否担保、抵押、质押、诉讼（栏</w:t>
      </w:r>
      <w:r>
        <w:rPr>
          <w:rFonts w:ascii="仿宋_GB2312" w:hAnsi="仿宋" w:eastAsia="仿宋_GB2312"/>
          <w:bCs/>
          <w:spacing w:val="4"/>
          <w:sz w:val="32"/>
          <w:szCs w:val="32"/>
        </w:rPr>
        <w:t>28）：填列是否涉及担保、抵押、质押、诉讼等情况。凡担保抵押质押房产的，需对被担保抵押质押单位名称、性质、与本单位关系，担保抵押质押起止时间、担保抵押质押金额或贷款金额、</w:t>
      </w:r>
      <w:r>
        <w:rPr>
          <w:rFonts w:hint="eastAsia" w:ascii="仿宋_GB2312" w:hAnsi="仿宋" w:eastAsia="仿宋_GB2312"/>
          <w:bCs/>
          <w:spacing w:val="4"/>
          <w:sz w:val="32"/>
          <w:szCs w:val="32"/>
        </w:rPr>
        <w:t>未偿还金额进行说明。</w:t>
      </w:r>
      <w:r>
        <w:rPr>
          <w:rFonts w:hint="eastAsia" w:ascii="仿宋_GB2312" w:hAnsi="仿宋" w:eastAsia="仿宋_GB2312"/>
          <w:bCs/>
          <w:sz w:val="32"/>
          <w:szCs w:val="32"/>
        </w:rPr>
        <w:t>凡涉及诉讼的房产，诉讼情况需进行详细说明。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11.是否入账（栏29）：填列“是”或“否”。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12.价值类型（栏30）：填列入账价值类型，如历史成本、重置成本、评估成本、名义成本等。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13.账面原值（栏31）：填列原始入账价值，计量单位为元。凡无法填列的需说明原因。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14.损溢类型（栏32）：按照无、盘盈、盘亏据实填列，盘盈、盘亏事项需说明原因。</w:t>
      </w:r>
    </w:p>
    <w:p>
      <w:pPr>
        <w:overflowPunct w:val="0"/>
        <w:spacing w:line="580" w:lineRule="exact"/>
        <w:ind w:firstLine="640" w:firstLineChars="200"/>
        <w:jc w:val="center"/>
        <w:rPr>
          <w:rFonts w:ascii="黑体" w:hAnsi="黑体" w:eastAsia="黑体"/>
          <w:sz w:val="32"/>
          <w:szCs w:val="32"/>
        </w:rPr>
      </w:pPr>
    </w:p>
    <w:p>
      <w:pPr>
        <w:overflowPunct w:val="0"/>
        <w:spacing w:line="580" w:lineRule="exact"/>
        <w:ind w:firstLine="2240" w:firstLineChars="700"/>
        <w:rPr>
          <w:rFonts w:ascii="黑体" w:hAnsi="黑体" w:eastAsia="黑体"/>
          <w:sz w:val="32"/>
          <w:szCs w:val="32"/>
        </w:rPr>
      </w:pPr>
    </w:p>
    <w:p>
      <w:pPr>
        <w:overflowPunct w:val="0"/>
        <w:spacing w:line="580" w:lineRule="exact"/>
        <w:ind w:firstLine="2240" w:firstLineChars="700"/>
        <w:rPr>
          <w:rFonts w:ascii="黑体" w:hAnsi="黑体" w:eastAsia="黑体"/>
          <w:sz w:val="32"/>
          <w:szCs w:val="32"/>
        </w:rPr>
      </w:pPr>
      <w:r>
        <w:rPr>
          <w:rFonts w:hint="eastAsia" w:ascii="黑体" w:hAnsi="黑体" w:eastAsia="黑体"/>
          <w:sz w:val="32"/>
          <w:szCs w:val="32"/>
        </w:rPr>
        <w:t>第四部分</w:t>
      </w:r>
      <w:r>
        <w:rPr>
          <w:rFonts w:ascii="黑体" w:hAnsi="黑体" w:eastAsia="黑体"/>
          <w:sz w:val="32"/>
          <w:szCs w:val="32"/>
        </w:rPr>
        <w:t xml:space="preserve">  </w:t>
      </w:r>
      <w:r>
        <w:rPr>
          <w:rFonts w:hint="eastAsia" w:ascii="黑体" w:hAnsi="黑体" w:eastAsia="黑体"/>
          <w:sz w:val="32"/>
          <w:szCs w:val="32"/>
        </w:rPr>
        <w:t>土地基本情况表</w:t>
      </w:r>
    </w:p>
    <w:p>
      <w:pPr>
        <w:overflowPunct w:val="0"/>
        <w:spacing w:line="580" w:lineRule="exact"/>
        <w:ind w:firstLine="640" w:firstLineChars="200"/>
        <w:rPr>
          <w:rFonts w:ascii="仿宋_GB2312" w:hAnsi="仿宋" w:eastAsia="仿宋_GB2312"/>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报行政事业单位清查基准日占有、使用的土地信息，包括入账和未入账土地，即所占有使用的耕地、园地、草地、商业服务业用地、工矿仓储用地、住宅用地、事业单位用地、公务服务用地、体育、娱乐用地、特殊用地、交通运输用地、水域及水利设施用地等。</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sz w:val="32"/>
          <w:szCs w:val="32"/>
        </w:rPr>
      </w:pPr>
      <w:r>
        <w:rPr>
          <w:rFonts w:ascii="仿宋_GB2312" w:hAnsi="仿宋" w:eastAsia="仿宋_GB2312"/>
          <w:sz w:val="32"/>
          <w:szCs w:val="32"/>
        </w:rPr>
        <w:t>3.土地名称（栏3）：按照</w:t>
      </w:r>
      <w:r>
        <w:rPr>
          <w:rFonts w:ascii="仿宋_GB2312" w:hAnsi="仿宋" w:eastAsia="仿宋_GB2312"/>
          <w:bCs/>
          <w:sz w:val="32"/>
          <w:szCs w:val="32"/>
        </w:rPr>
        <w:t>xx省xx市xx区xx</w:t>
      </w:r>
      <w:r>
        <w:rPr>
          <w:rFonts w:hint="eastAsia" w:ascii="仿宋_GB2312" w:hAnsi="仿宋" w:eastAsia="仿宋_GB2312"/>
          <w:sz w:val="32"/>
          <w:szCs w:val="32"/>
        </w:rPr>
        <w:t>街道（路）</w:t>
      </w:r>
      <w:r>
        <w:rPr>
          <w:rFonts w:ascii="仿宋_GB2312" w:hAnsi="仿宋" w:eastAsia="仿宋_GB2312"/>
          <w:bCs/>
          <w:sz w:val="32"/>
          <w:szCs w:val="32"/>
        </w:rPr>
        <w:t>xx号</w:t>
      </w:r>
      <w:r>
        <w:rPr>
          <w:rFonts w:hint="eastAsia" w:ascii="仿宋_GB2312" w:hAnsi="仿宋" w:eastAsia="仿宋_GB2312"/>
          <w:sz w:val="32"/>
          <w:szCs w:val="32"/>
        </w:rPr>
        <w:t>地块填列。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4.土地类别（栏4）：按照《中华人民共和国固定资产分类与代码（GB/T14885-2010）》明细分类进行填列。如事业单位用地-教育用地，体育娱乐用地-文化馆用地等。</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5.坐落位置（栏5）：单位有土地证的按照土地证信息填列。单位所有但无土地证的按照实际情况填列。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6.产权是否清晰（栏6）：根据单位产权是否清晰进行填列；凡填列“否”的，均需说明原因。单位使用但并非自有土地，需说明非自有原因。</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7.权属信息</w:t>
      </w:r>
      <w:r>
        <w:rPr>
          <w:rFonts w:hint="eastAsia" w:ascii="仿宋_GB2312" w:hAnsi="仿宋" w:eastAsia="仿宋_GB2312"/>
          <w:bCs/>
          <w:sz w:val="32"/>
          <w:szCs w:val="32"/>
        </w:rPr>
        <w:t>（栏</w:t>
      </w:r>
      <w:r>
        <w:rPr>
          <w:rFonts w:ascii="仿宋_GB2312" w:hAnsi="仿宋" w:eastAsia="仿宋_GB2312"/>
          <w:bCs/>
          <w:sz w:val="32"/>
          <w:szCs w:val="32"/>
        </w:rPr>
        <w:t>7-栏11）</w:t>
      </w:r>
      <w:r>
        <w:rPr>
          <w:rFonts w:hint="eastAsia" w:ascii="仿宋_GB2312" w:hAnsi="仿宋" w:eastAsia="仿宋_GB2312"/>
          <w:sz w:val="32"/>
          <w:szCs w:val="32"/>
        </w:rPr>
        <w:t>（权属单位、发证日期、证载面积、持证单位、权属年限）：已确权的，根据权属证明所载内容填列权属信息，未确权的无需填列。一张证书上涵盖多块土地信息的，原则上分开填列面积。</w:t>
      </w:r>
    </w:p>
    <w:p>
      <w:pPr>
        <w:overflowPunct w:val="0"/>
        <w:spacing w:line="580" w:lineRule="exact"/>
        <w:ind w:firstLine="600"/>
        <w:rPr>
          <w:rFonts w:ascii="仿宋_GB2312" w:hAnsi="仿宋" w:eastAsia="仿宋_GB2312"/>
          <w:bCs/>
          <w:sz w:val="32"/>
          <w:szCs w:val="32"/>
        </w:rPr>
      </w:pPr>
      <w:r>
        <w:rPr>
          <w:rFonts w:ascii="仿宋_GB2312" w:hAnsi="仿宋" w:eastAsia="仿宋_GB2312"/>
          <w:sz w:val="32"/>
          <w:szCs w:val="32"/>
        </w:rPr>
        <w:t>8.使用状况（面积）（栏12-栏16）：反映单位土地的实际使用状况，按照自用、闲置、出租出借、对外投资、待处置面积填列，</w:t>
      </w:r>
      <w:r>
        <w:rPr>
          <w:rFonts w:hint="eastAsia" w:ascii="仿宋_GB2312" w:hAnsi="仿宋" w:eastAsia="仿宋_GB2312"/>
          <w:bCs/>
          <w:sz w:val="32"/>
          <w:szCs w:val="32"/>
        </w:rPr>
        <w:t>计量单位为平方米。</w:t>
      </w:r>
      <w:r>
        <w:rPr>
          <w:rFonts w:hint="eastAsia" w:ascii="仿宋_GB2312" w:hAnsi="仿宋" w:eastAsia="仿宋_GB2312"/>
          <w:sz w:val="32"/>
          <w:szCs w:val="32"/>
        </w:rPr>
        <w:t>单独土地自用、闲置、出租出借、对外投资要如实填列对应使用状况面积，单纯地上建筑物自用、闲置、出租出借的，土地面积放到自用即可。</w:t>
      </w:r>
      <w:r>
        <w:rPr>
          <w:rFonts w:hint="eastAsia" w:ascii="仿宋_GB2312" w:hAnsi="仿宋" w:eastAsia="仿宋_GB2312"/>
          <w:bCs/>
          <w:sz w:val="32"/>
          <w:szCs w:val="32"/>
        </w:rPr>
        <w:t>待处置需详细说明。栏</w:t>
      </w:r>
      <w:r>
        <w:rPr>
          <w:rFonts w:ascii="仿宋_GB2312" w:hAnsi="仿宋" w:eastAsia="仿宋_GB2312"/>
          <w:bCs/>
          <w:sz w:val="32"/>
          <w:szCs w:val="32"/>
        </w:rPr>
        <w:t>9=栏12+栏13+栏14+栏15+栏16。无有效证件的，若能获得面积信息可填列，无法获得可不填列但需说明。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9.出租/出借情况（栏17-栏21）：填列土地承租人或承借方单位名称，租赁、出借合同及期限，租金、利息金额等信息。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10.是否担保、抵押、质押、诉讼（栏22）：据实填列是否涉及担保、抵押、质押、诉讼等情况。凡担保抵押质押土地的，需对被担保抵押质押单位名称、性质、与本单位关系，担保抵押质押起止时间、担保抵押质押金额或贷款金额、</w:t>
      </w:r>
      <w:r>
        <w:rPr>
          <w:rFonts w:hint="eastAsia" w:ascii="仿宋_GB2312" w:hAnsi="仿宋" w:eastAsia="仿宋_GB2312"/>
          <w:bCs/>
          <w:sz w:val="32"/>
          <w:szCs w:val="32"/>
        </w:rPr>
        <w:t>未偿还金额进行说明。凡涉及诉讼的土地，诉讼情况需进行详细说明。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11.是否入账（栏23）：填列“是”或“否”。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12.价值类型（栏24）：填列入账价值类型，如历史成本、重置成本、评估成本、名义成本等。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13.账面原值（栏25）：填列原始入账价值，计量单位为元。凡无法填列的需说明原因。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14.损溢类型（栏26）：按照无、盘盈、盘亏据实填列，盘盈、盘亏事项需说明原因。</w:t>
      </w:r>
    </w:p>
    <w:p>
      <w:pPr>
        <w:overflowPunct w:val="0"/>
        <w:spacing w:line="580" w:lineRule="exact"/>
        <w:ind w:firstLine="600"/>
        <w:rPr>
          <w:rFonts w:ascii="仿宋_GB2312" w:hAnsi="仿宋" w:eastAsia="仿宋_GB2312"/>
          <w:bCs/>
          <w:sz w:val="32"/>
          <w:szCs w:val="32"/>
        </w:rPr>
      </w:pPr>
    </w:p>
    <w:p>
      <w:pPr>
        <w:overflowPunct w:val="0"/>
        <w:spacing w:line="580" w:lineRule="exact"/>
        <w:ind w:firstLine="1920" w:firstLineChars="600"/>
        <w:rPr>
          <w:rFonts w:ascii="黑体" w:hAnsi="黑体" w:eastAsia="黑体"/>
          <w:sz w:val="32"/>
          <w:szCs w:val="32"/>
        </w:rPr>
      </w:pPr>
      <w:r>
        <w:rPr>
          <w:rFonts w:hint="eastAsia" w:ascii="黑体" w:hAnsi="黑体" w:eastAsia="黑体"/>
          <w:sz w:val="32"/>
          <w:szCs w:val="32"/>
        </w:rPr>
        <w:t>第五部分</w:t>
      </w:r>
      <w:r>
        <w:rPr>
          <w:rFonts w:ascii="黑体" w:hAnsi="黑体" w:eastAsia="黑体"/>
          <w:sz w:val="32"/>
          <w:szCs w:val="32"/>
        </w:rPr>
        <w:t xml:space="preserve">  </w:t>
      </w:r>
      <w:r>
        <w:rPr>
          <w:rFonts w:hint="eastAsia" w:ascii="黑体" w:hAnsi="黑体" w:eastAsia="黑体"/>
          <w:sz w:val="32"/>
          <w:szCs w:val="32"/>
        </w:rPr>
        <w:t>公务用车基本情况表</w:t>
      </w:r>
    </w:p>
    <w:p>
      <w:pPr>
        <w:overflowPunct w:val="0"/>
        <w:spacing w:line="580" w:lineRule="exact"/>
        <w:ind w:firstLine="640" w:firstLineChars="200"/>
        <w:jc w:val="center"/>
        <w:rPr>
          <w:rFonts w:ascii="黑体" w:hAnsi="黑体" w:eastAsia="黑体"/>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本表填列行政事业单位清查基准日实际存在的占用、使用的公务用车。无论目前是否入账均应填列。</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3.车辆名称（栏3）：按照车辆品牌+类别填列，如福</w:t>
      </w:r>
      <w:r>
        <w:rPr>
          <w:rFonts w:hint="eastAsia" w:ascii="仿宋_GB2312" w:hAnsi="仿宋" w:eastAsia="仿宋_GB2312"/>
          <w:bCs/>
          <w:sz w:val="32"/>
          <w:szCs w:val="32"/>
        </w:rPr>
        <w:t>特轿车等。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4.车辆性质（栏4）：按照公务用车分类填列通信保障用车、机要应急用车、执法执勤用车、特种专业技术用车、其他。</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 xml:space="preserve">5.车辆类别（栏5）：按照《中华人民共和国固定资产分类与代码（GB/T14885-2010）》进行填列，比如商务车、救护车等。  </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6.车牌号（栏6）：</w:t>
      </w:r>
      <w:r>
        <w:rPr>
          <w:rFonts w:hint="eastAsia" w:ascii="仿宋_GB2312" w:hAnsi="仿宋" w:eastAsia="仿宋_GB2312"/>
          <w:bCs/>
          <w:sz w:val="32"/>
          <w:szCs w:val="32"/>
          <w:lang w:val="zh-CN"/>
        </w:rPr>
        <w:t>按照机动车辆行驶证上的车牌号码如实填列。</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7.车架号（栏7）：</w:t>
      </w:r>
      <w:r>
        <w:rPr>
          <w:rFonts w:hint="eastAsia" w:ascii="仿宋_GB2312" w:hAnsi="仿宋" w:eastAsia="仿宋_GB2312"/>
          <w:bCs/>
          <w:sz w:val="32"/>
          <w:szCs w:val="32"/>
          <w:lang w:val="zh-CN"/>
        </w:rPr>
        <w:t>按照机动车辆行驶证上的车架号码如实填列。</w:t>
      </w:r>
    </w:p>
    <w:p>
      <w:pPr>
        <w:numPr>
          <w:ilvl w:val="0"/>
          <w:numId w:val="1"/>
        </w:numPr>
        <w:overflowPunct w:val="0"/>
        <w:spacing w:line="580" w:lineRule="exact"/>
        <w:ind w:firstLine="600"/>
        <w:rPr>
          <w:rFonts w:ascii="仿宋_GB2312" w:hAnsi="仿宋" w:eastAsia="仿宋_GB2312"/>
          <w:sz w:val="32"/>
          <w:szCs w:val="32"/>
        </w:rPr>
      </w:pPr>
      <w:r>
        <w:rPr>
          <w:rFonts w:hint="eastAsia" w:ascii="仿宋_GB2312" w:hAnsi="仿宋" w:eastAsia="仿宋_GB2312"/>
          <w:sz w:val="32"/>
          <w:szCs w:val="32"/>
        </w:rPr>
        <w:t>产权是否清晰</w:t>
      </w:r>
      <w:r>
        <w:rPr>
          <w:rFonts w:hint="eastAsia" w:ascii="仿宋_GB2312" w:hAnsi="仿宋" w:eastAsia="仿宋_GB2312"/>
          <w:bCs/>
          <w:sz w:val="32"/>
          <w:szCs w:val="32"/>
        </w:rPr>
        <w:t>（栏</w:t>
      </w:r>
      <w:r>
        <w:rPr>
          <w:rFonts w:ascii="仿宋_GB2312" w:hAnsi="仿宋" w:eastAsia="仿宋_GB2312"/>
          <w:bCs/>
          <w:sz w:val="32"/>
          <w:szCs w:val="32"/>
        </w:rPr>
        <w:t>8）</w:t>
      </w:r>
      <w:r>
        <w:rPr>
          <w:rFonts w:hint="eastAsia" w:ascii="仿宋_GB2312" w:hAnsi="仿宋" w:eastAsia="仿宋_GB2312"/>
          <w:sz w:val="32"/>
          <w:szCs w:val="32"/>
        </w:rPr>
        <w:t>：根据单位产权是否清晰进行填列；凡填列“否”的，需说明原因。</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9.权属信息</w:t>
      </w:r>
      <w:r>
        <w:rPr>
          <w:rFonts w:hint="eastAsia" w:ascii="仿宋_GB2312" w:hAnsi="仿宋" w:eastAsia="仿宋_GB2312"/>
          <w:bCs/>
          <w:sz w:val="32"/>
          <w:szCs w:val="32"/>
        </w:rPr>
        <w:t>（栏</w:t>
      </w:r>
      <w:r>
        <w:rPr>
          <w:rFonts w:ascii="仿宋_GB2312" w:hAnsi="仿宋" w:eastAsia="仿宋_GB2312"/>
          <w:bCs/>
          <w:sz w:val="32"/>
          <w:szCs w:val="32"/>
        </w:rPr>
        <w:t>9-栏10）</w:t>
      </w:r>
      <w:r>
        <w:rPr>
          <w:rFonts w:hint="eastAsia" w:ascii="仿宋_GB2312" w:hAnsi="仿宋" w:eastAsia="仿宋_GB2312"/>
          <w:sz w:val="32"/>
          <w:szCs w:val="32"/>
        </w:rPr>
        <w:t>（持证人、发证日期）：已确权的，根据权属证明所载内容填列权属信息，未确权的无需填列，但需说明未确权原因。</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10.取得日期（栏11）：根据购置、划拨等取得日期进行填列。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11.累计使用年限（栏12）：根据已使用年限进行填列。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12.使用状况（数量）（栏13-栏16）：反映单位车辆的实际使用状况，按照自用、闲置、出租出借、待处置数量填列，计量单位为辆。</w:t>
      </w:r>
      <w:r>
        <w:rPr>
          <w:rFonts w:hint="eastAsia" w:ascii="仿宋_GB2312" w:hAnsi="仿宋" w:eastAsia="仿宋_GB2312"/>
          <w:bCs/>
          <w:sz w:val="32"/>
          <w:szCs w:val="32"/>
        </w:rPr>
        <w:t>待处置需详细说明。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13.出租/出借情况（栏17-栏21）：填列车辆承租人或承借方单位名称，租赁、出借合同及期限，租金、利息金额等信息。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14.是否担保、抵押、质押、诉讼（栏22）：填列是否涉及担保、抵押、质押、诉讼等情况。凡担保抵押质押车辆的，需对被担保抵押质押单位名称、性质、与本单位关系，担保抵押质押起止时间、担保抵押质押金额或贷款金额、</w:t>
      </w:r>
      <w:r>
        <w:rPr>
          <w:rFonts w:hint="eastAsia" w:ascii="仿宋_GB2312" w:hAnsi="仿宋" w:eastAsia="仿宋_GB2312"/>
          <w:bCs/>
          <w:sz w:val="32"/>
          <w:szCs w:val="32"/>
        </w:rPr>
        <w:t>未偿还金额进行说明。凡填列诉讼的，诉讼情况需进行详细说明。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15.是否入账（栏23）：填列“是”或“否”。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16.价值类型（栏24）：填列入账价值类型，如历史成本、重置成本、评估成本、名义成本等。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17.账面原值（栏25）：填列原始入账价值，计量单位为元。凡无法填列的需说明原因。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18.损溢类型（栏26）：按照无、盘盈、盘亏据实填列，盘盈、盘亏事项需说明原因。</w:t>
      </w:r>
    </w:p>
    <w:p>
      <w:pPr>
        <w:overflowPunct w:val="0"/>
        <w:spacing w:line="580" w:lineRule="exact"/>
        <w:ind w:firstLine="600"/>
        <w:rPr>
          <w:rFonts w:ascii="仿宋_GB2312" w:hAnsi="仿宋" w:eastAsia="仿宋_GB2312"/>
          <w:bCs/>
          <w:sz w:val="32"/>
          <w:szCs w:val="32"/>
        </w:rPr>
      </w:pPr>
    </w:p>
    <w:p>
      <w:pPr>
        <w:overflowPunct w:val="0"/>
        <w:spacing w:line="580" w:lineRule="exact"/>
        <w:ind w:firstLine="1920" w:firstLineChars="600"/>
        <w:rPr>
          <w:rFonts w:ascii="黑体" w:hAnsi="黑体" w:eastAsia="黑体"/>
          <w:sz w:val="32"/>
          <w:szCs w:val="32"/>
        </w:rPr>
      </w:pPr>
      <w:r>
        <w:rPr>
          <w:rFonts w:hint="eastAsia" w:ascii="黑体" w:hAnsi="黑体" w:eastAsia="黑体"/>
          <w:sz w:val="32"/>
          <w:szCs w:val="32"/>
        </w:rPr>
        <w:t>第六部分</w:t>
      </w:r>
      <w:r>
        <w:rPr>
          <w:rFonts w:ascii="黑体" w:hAnsi="黑体" w:eastAsia="黑体"/>
          <w:sz w:val="32"/>
          <w:szCs w:val="32"/>
        </w:rPr>
        <w:t xml:space="preserve">  </w:t>
      </w:r>
      <w:r>
        <w:rPr>
          <w:rFonts w:hint="eastAsia" w:ascii="黑体" w:hAnsi="黑体" w:eastAsia="黑体"/>
          <w:sz w:val="32"/>
          <w:szCs w:val="32"/>
        </w:rPr>
        <w:t>专用设备基本情况表</w:t>
      </w:r>
    </w:p>
    <w:p>
      <w:pPr>
        <w:overflowPunct w:val="0"/>
        <w:spacing w:line="580" w:lineRule="exact"/>
        <w:ind w:firstLine="640" w:firstLineChars="200"/>
        <w:rPr>
          <w:rFonts w:ascii="楷体" w:hAnsi="楷体" w:eastAsia="楷体" w:cs="楷体"/>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本表填报行政事业单位清查基准日占有、使用的具有专业性用途的设备，比如科研设备、存储设备、机房设备、可重复使用的会议会展用品等。</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3.资产名称（栏3）：按照设备名称填列，比如虚拟演播室设备等。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4.资产类别（栏4）：按照《中华人民共和国固定资产分类与代码（GB/T14885-2010）》进行填列。比如：电工仪器仪表、音频设备、分析仪器、电子测量仪器等。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5.</w:t>
      </w:r>
      <w:r>
        <w:rPr>
          <w:rFonts w:hint="eastAsia" w:ascii="仿宋_GB2312" w:hAnsi="仿宋" w:eastAsia="仿宋_GB2312"/>
          <w:sz w:val="32"/>
          <w:szCs w:val="32"/>
        </w:rPr>
        <w:t>产权是否清晰（栏</w:t>
      </w:r>
      <w:r>
        <w:rPr>
          <w:rFonts w:ascii="仿宋_GB2312" w:hAnsi="仿宋" w:eastAsia="仿宋_GB2312"/>
          <w:sz w:val="32"/>
          <w:szCs w:val="32"/>
        </w:rPr>
        <w:t>5）：根据单位产权是否清晰进行填列；凡填列“否”的，均需说明原因。</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6.取得日期（栏6）：按照设备取得时间进行填列。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7.使用限期（栏7）：按照设备说明中的使用限期或行业使用限期进行填列。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8.使用状况（数量）（栏8-栏11）：反映专用设备实际使用状况，按照自用、闲置、出租出借、待处置数量填列，计量单位为台、</w:t>
      </w:r>
      <w:r>
        <w:rPr>
          <w:rFonts w:hint="eastAsia" w:ascii="仿宋_GB2312" w:hAnsi="仿宋" w:eastAsia="仿宋_GB2312"/>
          <w:sz w:val="32"/>
          <w:szCs w:val="32"/>
        </w:rPr>
        <w:t>个、架等专用设备数量单位。待处置需详细说明。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9.出租/出借情况</w:t>
      </w:r>
      <w:r>
        <w:rPr>
          <w:rFonts w:hint="eastAsia" w:ascii="仿宋_GB2312" w:hAnsi="仿宋" w:eastAsia="仿宋_GB2312"/>
          <w:sz w:val="32"/>
          <w:szCs w:val="32"/>
        </w:rPr>
        <w:t>（栏</w:t>
      </w:r>
      <w:r>
        <w:rPr>
          <w:rFonts w:ascii="仿宋_GB2312" w:hAnsi="仿宋" w:eastAsia="仿宋_GB2312"/>
          <w:sz w:val="32"/>
          <w:szCs w:val="32"/>
        </w:rPr>
        <w:t>12-栏16）</w:t>
      </w:r>
      <w:r>
        <w:rPr>
          <w:rFonts w:hint="eastAsia" w:ascii="仿宋_GB2312" w:hAnsi="仿宋" w:eastAsia="仿宋_GB2312"/>
          <w:bCs/>
          <w:sz w:val="32"/>
          <w:szCs w:val="32"/>
        </w:rPr>
        <w:t>：填列设备承租人或承借方单位名称，租赁、出借合同及期限，租金、利息金额等信息。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10.是否担保、抵押、质押、诉讼</w:t>
      </w:r>
      <w:r>
        <w:rPr>
          <w:rFonts w:hint="eastAsia" w:ascii="仿宋_GB2312" w:hAnsi="仿宋" w:eastAsia="仿宋_GB2312"/>
          <w:sz w:val="32"/>
          <w:szCs w:val="32"/>
        </w:rPr>
        <w:t>（栏</w:t>
      </w:r>
      <w:r>
        <w:rPr>
          <w:rFonts w:ascii="仿宋_GB2312" w:hAnsi="仿宋" w:eastAsia="仿宋_GB2312"/>
          <w:sz w:val="32"/>
          <w:szCs w:val="32"/>
        </w:rPr>
        <w:t>17）</w:t>
      </w:r>
      <w:r>
        <w:rPr>
          <w:rFonts w:hint="eastAsia" w:ascii="仿宋_GB2312" w:hAnsi="仿宋" w:eastAsia="仿宋_GB2312"/>
          <w:bCs/>
          <w:sz w:val="32"/>
          <w:szCs w:val="32"/>
        </w:rPr>
        <w:t>：填列是否涉及担保、抵押、质押、诉讼等情况。凡担保抵押质押专用设备的，需对被担保抵押质押单位名称、性质、与本单位关系，担保抵押质押起止时间、担保抵押质押金额或贷款金额、未偿还金额进行说明。涉及诉讼的车辆，诉讼情况需进行详细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11.是否入账</w:t>
      </w:r>
      <w:r>
        <w:rPr>
          <w:rFonts w:hint="eastAsia" w:ascii="仿宋_GB2312" w:hAnsi="仿宋" w:eastAsia="仿宋_GB2312"/>
          <w:sz w:val="32"/>
          <w:szCs w:val="32"/>
        </w:rPr>
        <w:t>（栏</w:t>
      </w:r>
      <w:r>
        <w:rPr>
          <w:rFonts w:ascii="仿宋_GB2312" w:hAnsi="仿宋" w:eastAsia="仿宋_GB2312"/>
          <w:sz w:val="32"/>
          <w:szCs w:val="32"/>
        </w:rPr>
        <w:t>18）</w:t>
      </w:r>
      <w:r>
        <w:rPr>
          <w:rFonts w:hint="eastAsia" w:ascii="仿宋_GB2312" w:hAnsi="仿宋" w:eastAsia="仿宋_GB2312"/>
          <w:bCs/>
          <w:sz w:val="32"/>
          <w:szCs w:val="32"/>
        </w:rPr>
        <w:t>：填列“是”或“否”。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12.价值类型</w:t>
      </w:r>
      <w:r>
        <w:rPr>
          <w:rFonts w:hint="eastAsia" w:ascii="仿宋_GB2312" w:hAnsi="仿宋" w:eastAsia="仿宋_GB2312"/>
          <w:sz w:val="32"/>
          <w:szCs w:val="32"/>
        </w:rPr>
        <w:t>（栏</w:t>
      </w:r>
      <w:r>
        <w:rPr>
          <w:rFonts w:ascii="仿宋_GB2312" w:hAnsi="仿宋" w:eastAsia="仿宋_GB2312"/>
          <w:sz w:val="32"/>
          <w:szCs w:val="32"/>
        </w:rPr>
        <w:t>19）</w:t>
      </w:r>
      <w:r>
        <w:rPr>
          <w:rFonts w:hint="eastAsia" w:ascii="仿宋_GB2312" w:hAnsi="仿宋" w:eastAsia="仿宋_GB2312"/>
          <w:bCs/>
          <w:sz w:val="32"/>
          <w:szCs w:val="32"/>
        </w:rPr>
        <w:t>：填列入账价值类型，如历史成本、重置成本、评估成本、名义成本等。</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13.账面原值</w:t>
      </w:r>
      <w:r>
        <w:rPr>
          <w:rFonts w:hint="eastAsia" w:ascii="仿宋_GB2312" w:hAnsi="仿宋" w:eastAsia="仿宋_GB2312"/>
          <w:sz w:val="32"/>
          <w:szCs w:val="32"/>
        </w:rPr>
        <w:t>（栏</w:t>
      </w:r>
      <w:r>
        <w:rPr>
          <w:rFonts w:ascii="仿宋_GB2312" w:hAnsi="仿宋" w:eastAsia="仿宋_GB2312"/>
          <w:sz w:val="32"/>
          <w:szCs w:val="32"/>
        </w:rPr>
        <w:t>20）</w:t>
      </w:r>
      <w:r>
        <w:rPr>
          <w:rFonts w:hint="eastAsia" w:ascii="仿宋_GB2312" w:hAnsi="仿宋" w:eastAsia="仿宋_GB2312"/>
          <w:bCs/>
          <w:sz w:val="32"/>
          <w:szCs w:val="32"/>
        </w:rPr>
        <w:t>：填列原始入账价值，计量单位为元。凡无法填列的需说明原因。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14.损溢类型（栏21）：按照无、盘盈、盘亏据实填列，盘盈、盘亏事项需说明原因。</w:t>
      </w:r>
    </w:p>
    <w:p>
      <w:pPr>
        <w:overflowPunct w:val="0"/>
        <w:spacing w:line="580" w:lineRule="exact"/>
        <w:ind w:firstLine="600"/>
        <w:rPr>
          <w:rFonts w:ascii="仿宋_GB2312" w:hAnsi="仿宋" w:eastAsia="仿宋_GB2312"/>
          <w:bCs/>
          <w:sz w:val="32"/>
          <w:szCs w:val="32"/>
        </w:rPr>
      </w:pPr>
    </w:p>
    <w:p>
      <w:pPr>
        <w:overflowPunct w:val="0"/>
        <w:spacing w:line="580" w:lineRule="exact"/>
        <w:jc w:val="center"/>
        <w:rPr>
          <w:rFonts w:ascii="黑体" w:hAnsi="黑体" w:eastAsia="黑体"/>
          <w:sz w:val="32"/>
          <w:szCs w:val="32"/>
        </w:rPr>
      </w:pPr>
      <w:r>
        <w:rPr>
          <w:rFonts w:hint="eastAsia" w:ascii="黑体" w:hAnsi="黑体" w:eastAsia="黑体"/>
          <w:sz w:val="32"/>
          <w:szCs w:val="32"/>
        </w:rPr>
        <w:t>第七部分</w:t>
      </w:r>
      <w:r>
        <w:rPr>
          <w:rFonts w:ascii="黑体" w:hAnsi="黑体" w:eastAsia="黑体"/>
          <w:sz w:val="32"/>
          <w:szCs w:val="32"/>
        </w:rPr>
        <w:t xml:space="preserve">  </w:t>
      </w:r>
      <w:r>
        <w:rPr>
          <w:rFonts w:hint="eastAsia" w:ascii="黑体" w:hAnsi="黑体" w:eastAsia="黑体"/>
          <w:sz w:val="32"/>
          <w:szCs w:val="32"/>
        </w:rPr>
        <w:t>办公设备设施和家具用具基本情况表</w:t>
      </w:r>
    </w:p>
    <w:p>
      <w:pPr>
        <w:overflowPunct w:val="0"/>
        <w:spacing w:line="580" w:lineRule="exact"/>
        <w:jc w:val="center"/>
        <w:rPr>
          <w:rFonts w:ascii="黑体" w:hAnsi="黑体" w:eastAsia="黑体"/>
          <w:sz w:val="32"/>
          <w:szCs w:val="32"/>
        </w:rPr>
      </w:pPr>
    </w:p>
    <w:p>
      <w:pPr>
        <w:overflowPunct w:val="0"/>
        <w:spacing w:line="580" w:lineRule="exact"/>
        <w:ind w:firstLine="640" w:firstLineChars="200"/>
        <w:rPr>
          <w:rFonts w:ascii="仿宋_GB2312" w:hAnsi="仿宋" w:eastAsia="仿宋_GB2312"/>
          <w:sz w:val="32"/>
          <w:szCs w:val="32"/>
        </w:rPr>
      </w:pPr>
      <w:r>
        <w:rPr>
          <w:rFonts w:hint="eastAsia" w:ascii="仿宋_GB2312" w:hAnsi="仿宋" w:eastAsia="仿宋_GB2312"/>
          <w:sz w:val="32"/>
          <w:szCs w:val="32"/>
        </w:rPr>
        <w:t>本表填列行政事业单位清查基准日能够维持正常职责运转的办公设备设施、家具用具。</w:t>
      </w:r>
    </w:p>
    <w:p>
      <w:pPr>
        <w:overflowPunct w:val="0"/>
        <w:spacing w:line="580" w:lineRule="exact"/>
        <w:ind w:firstLine="640" w:firstLineChars="200"/>
        <w:rPr>
          <w:rFonts w:ascii="楷体" w:hAnsi="楷体" w:eastAsia="楷体" w:cs="楷体"/>
          <w:sz w:val="32"/>
          <w:szCs w:val="32"/>
        </w:rPr>
      </w:pPr>
      <w:r>
        <w:rPr>
          <w:rFonts w:hint="eastAsia" w:ascii="楷体" w:hAnsi="楷体" w:eastAsia="楷体" w:cs="楷体"/>
          <w:sz w:val="32"/>
          <w:szCs w:val="32"/>
        </w:rPr>
        <w:t>主要指标说明：</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1.主管部门（栏1）：填列主管部门全称。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2.单位名称（栏2）：填列单位全称。</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3.资产名称（栏3）：按照</w:t>
      </w:r>
      <w:r>
        <w:rPr>
          <w:rFonts w:hint="eastAsia" w:ascii="仿宋_GB2312" w:hAnsi="仿宋" w:eastAsia="仿宋_GB2312"/>
          <w:sz w:val="32"/>
          <w:szCs w:val="32"/>
        </w:rPr>
        <w:t>台式计算机、便携式计算机、打印机、复印机、一体机、扫描仪、投影仪、数码相机、数码摄像机、碎纸机、电视机、办公桌、办公椅、沙发、茶几、桌前椅、折叠椅、书柜、文件柜、保密柜、衣橱、会议桌、会议椅等填列。</w:t>
      </w:r>
      <w:r>
        <w:rPr>
          <w:rFonts w:hint="eastAsia" w:ascii="仿宋_GB2312" w:hAnsi="仿宋" w:eastAsia="仿宋_GB2312"/>
          <w:sz w:val="32"/>
          <w:szCs w:val="32"/>
          <w:lang w:val="zh-CN"/>
        </w:rPr>
        <w:t>设备规格型号、购置时间、入账时间均相同的资产，需对应上述资产类型进行归类统计，汇总填列</w:t>
      </w:r>
      <w:r>
        <w:rPr>
          <w:rFonts w:ascii="仿宋_GB2312" w:hAnsi="仿宋" w:eastAsia="仿宋_GB2312"/>
          <w:sz w:val="32"/>
          <w:szCs w:val="32"/>
          <w:lang w:val="zh-CN"/>
        </w:rPr>
        <w:t>“</w:t>
      </w:r>
      <w:r>
        <w:rPr>
          <w:rFonts w:hint="eastAsia" w:ascii="仿宋_GB2312" w:hAnsi="仿宋" w:eastAsia="仿宋_GB2312"/>
          <w:sz w:val="32"/>
          <w:szCs w:val="32"/>
          <w:lang w:val="zh-CN"/>
        </w:rPr>
        <w:t>数量</w:t>
      </w:r>
      <w:r>
        <w:rPr>
          <w:rFonts w:ascii="仿宋_GB2312" w:hAnsi="仿宋" w:eastAsia="仿宋_GB2312"/>
          <w:sz w:val="32"/>
          <w:szCs w:val="32"/>
          <w:lang w:val="zh-CN"/>
        </w:rPr>
        <w:t>”</w:t>
      </w:r>
      <w:r>
        <w:rPr>
          <w:rFonts w:hint="eastAsia" w:ascii="仿宋_GB2312" w:hAnsi="仿宋" w:eastAsia="仿宋_GB2312"/>
          <w:sz w:val="32"/>
          <w:szCs w:val="32"/>
          <w:lang w:val="zh-CN"/>
        </w:rPr>
        <w:t>等后续栏次信息。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4.资产类别（栏4）：分为通用资产办公设备设施、通用资产办公家具用具。</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5.规格型号（栏5）：按照能够反映办公设备设施和家具用具的商品性质、性能、品质等指标进行填列。</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6.数量（栏6）：对应资产名称、规格型号进行汇总填列。</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7.产权是否清晰（栏7）：</w:t>
      </w:r>
      <w:r>
        <w:rPr>
          <w:rFonts w:hint="eastAsia" w:ascii="仿宋_GB2312" w:hAnsi="仿宋" w:eastAsia="仿宋_GB2312"/>
          <w:sz w:val="32"/>
          <w:szCs w:val="32"/>
        </w:rPr>
        <w:t>根据单位产权是否清晰进行填列；凡填列“否”的，均需说明原因</w:t>
      </w:r>
      <w:r>
        <w:rPr>
          <w:rFonts w:hint="eastAsia" w:ascii="仿宋_GB2312" w:hAnsi="仿宋" w:eastAsia="仿宋_GB2312"/>
          <w:bCs/>
          <w:sz w:val="32"/>
          <w:szCs w:val="32"/>
        </w:rPr>
        <w:t>。</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8.取得日期（栏8）：按照购置日期进行填列。</w:t>
      </w:r>
    </w:p>
    <w:p>
      <w:pPr>
        <w:overflowPunct w:val="0"/>
        <w:spacing w:line="580" w:lineRule="exact"/>
        <w:ind w:firstLine="640" w:firstLineChars="200"/>
        <w:rPr>
          <w:rFonts w:ascii="仿宋_GB2312" w:hAnsi="仿宋" w:eastAsia="仿宋_GB2312"/>
          <w:sz w:val="32"/>
          <w:szCs w:val="32"/>
        </w:rPr>
      </w:pPr>
      <w:r>
        <w:rPr>
          <w:rFonts w:ascii="仿宋_GB2312" w:hAnsi="仿宋" w:eastAsia="仿宋_GB2312"/>
          <w:sz w:val="32"/>
          <w:szCs w:val="32"/>
        </w:rPr>
        <w:t>9.使用状况（数量）（栏9-栏12）：反映办公设备设施、家具用具实际使用状况，按照自用、闲置、出租出借、待处置数量填列，计量单位为台、</w:t>
      </w:r>
      <w:r>
        <w:rPr>
          <w:rFonts w:hint="eastAsia" w:ascii="仿宋_GB2312" w:hAnsi="仿宋" w:eastAsia="仿宋_GB2312"/>
          <w:sz w:val="32"/>
          <w:szCs w:val="32"/>
        </w:rPr>
        <w:t>个、架等。待处置需详细说明。栏</w:t>
      </w:r>
      <w:r>
        <w:rPr>
          <w:rFonts w:ascii="仿宋_GB2312" w:hAnsi="仿宋" w:eastAsia="仿宋_GB2312"/>
          <w:sz w:val="32"/>
          <w:szCs w:val="32"/>
        </w:rPr>
        <w:t>6=栏9+栏10+栏11+栏12。</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10.出租/出借情况（栏13-栏17）：填列办公设备设施和家具用具承租人或承借方单位名称，租赁、出借合同及期限，租金、利息金额等信息。</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11.是否入账（栏18）：填列“是”或“否”。</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12.价值类型（栏19）：填列入账价值类型，如历史成本、重置成本、评估成本、名义成本等。</w:t>
      </w:r>
    </w:p>
    <w:p>
      <w:pPr>
        <w:overflowPunct w:val="0"/>
        <w:spacing w:line="580" w:lineRule="exact"/>
        <w:ind w:firstLine="640" w:firstLineChars="200"/>
        <w:rPr>
          <w:rFonts w:ascii="仿宋_GB2312" w:hAnsi="仿宋" w:eastAsia="仿宋_GB2312"/>
          <w:bCs/>
          <w:sz w:val="32"/>
          <w:szCs w:val="32"/>
        </w:rPr>
      </w:pPr>
      <w:r>
        <w:rPr>
          <w:rFonts w:ascii="仿宋_GB2312" w:hAnsi="仿宋" w:eastAsia="仿宋_GB2312"/>
          <w:bCs/>
          <w:sz w:val="32"/>
          <w:szCs w:val="32"/>
        </w:rPr>
        <w:t>13.账面原值（栏20）：填列原始入账价值，计量单位为元。凡无法填列的需说明原因。</w:t>
      </w:r>
    </w:p>
    <w:p>
      <w:pPr>
        <w:overflowPunct w:val="0"/>
        <w:spacing w:line="580" w:lineRule="exact"/>
        <w:ind w:firstLine="600"/>
        <w:rPr>
          <w:rFonts w:ascii="仿宋_GB2312" w:hAnsi="仿宋" w:eastAsia="仿宋_GB2312"/>
          <w:bCs/>
          <w:sz w:val="32"/>
          <w:szCs w:val="32"/>
        </w:rPr>
      </w:pPr>
      <w:r>
        <w:rPr>
          <w:rFonts w:ascii="仿宋_GB2312" w:hAnsi="仿宋" w:eastAsia="仿宋_GB2312"/>
          <w:bCs/>
          <w:sz w:val="32"/>
          <w:szCs w:val="32"/>
        </w:rPr>
        <w:t>14.损溢类型（栏21）：按照无、盘盈、盘亏据实填列，盘盈、盘亏事项需说明原因。</w:t>
      </w:r>
    </w:p>
    <w:p>
      <w:pPr>
        <w:overflowPunct w:val="0"/>
        <w:spacing w:line="580" w:lineRule="exact"/>
        <w:ind w:firstLine="600"/>
        <w:rPr>
          <w:rFonts w:ascii="仿宋_GB2312" w:hAnsi="仿宋" w:eastAsia="仿宋_GB2312"/>
          <w:bCs/>
          <w:sz w:val="32"/>
          <w:szCs w:val="32"/>
        </w:rPr>
      </w:pPr>
    </w:p>
    <w:p>
      <w:pPr>
        <w:overflowPunct w:val="0"/>
        <w:spacing w:line="580" w:lineRule="exact"/>
        <w:ind w:firstLine="600" w:firstLineChars="200"/>
        <w:rPr>
          <w:rFonts w:ascii="仿宋_GB2312" w:hAnsi="仿宋" w:eastAsia="仿宋_GB2312"/>
          <w:bCs/>
          <w:sz w:val="30"/>
          <w:szCs w:val="30"/>
        </w:rPr>
      </w:pPr>
    </w:p>
    <w:sectPr>
      <w:footerReference r:id="rId3" w:type="default"/>
      <w:pgSz w:w="11906" w:h="16838"/>
      <w:pgMar w:top="2098" w:right="1418" w:bottom="1871" w:left="1531" w:header="851" w:footer="136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Lucida Sans"/>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00007A87" w:usb1="80000000" w:usb2="00000008" w:usb3="00000000" w:csb0="400001FF" w:csb1="FFFF0000"/>
  </w:font>
  <w:font w:name="楷体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00007A87" w:usb1="8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楷体">
    <w:altName w:val="楷体_GB2312"/>
    <w:panose1 w:val="02010609060101010101"/>
    <w:charset w:val="86"/>
    <w:family w:val="modern"/>
    <w:pitch w:val="default"/>
    <w:sig w:usb0="00000000" w:usb1="00000000" w:usb2="00000016" w:usb3="00000000" w:csb0="00040001" w:csb1="00000000"/>
  </w:font>
  <w:font w:name="Palatino Linotype">
    <w:panose1 w:val="02040502050505030304"/>
    <w:charset w:val="00"/>
    <w:family w:val="auto"/>
    <w:pitch w:val="default"/>
    <w:sig w:usb0="E0000387" w:usb1="40000013" w:usb2="00000000" w:usb3="00000000" w:csb0="2000019F" w:csb1="00000000"/>
  </w:font>
  <w:font w:name="Lucida Sans">
    <w:panose1 w:val="020B0602030504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9554E6"/>
    <w:multiLevelType w:val="singleLevel"/>
    <w:tmpl w:val="5E9554E6"/>
    <w:lvl w:ilvl="0" w:tentative="0">
      <w:start w:val="8"/>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trackRevisions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21599"/>
    <w:rsid w:val="000B718D"/>
    <w:rsid w:val="00120619"/>
    <w:rsid w:val="00172A27"/>
    <w:rsid w:val="001C6003"/>
    <w:rsid w:val="002027DA"/>
    <w:rsid w:val="002253F7"/>
    <w:rsid w:val="0032033A"/>
    <w:rsid w:val="004209ED"/>
    <w:rsid w:val="00496BE6"/>
    <w:rsid w:val="004B6C69"/>
    <w:rsid w:val="005862C0"/>
    <w:rsid w:val="005A465A"/>
    <w:rsid w:val="005F1689"/>
    <w:rsid w:val="00684FE0"/>
    <w:rsid w:val="006A501D"/>
    <w:rsid w:val="0070452E"/>
    <w:rsid w:val="00783976"/>
    <w:rsid w:val="007F2395"/>
    <w:rsid w:val="00893E89"/>
    <w:rsid w:val="008C230D"/>
    <w:rsid w:val="008C32B6"/>
    <w:rsid w:val="00917787"/>
    <w:rsid w:val="00926949"/>
    <w:rsid w:val="00932B6F"/>
    <w:rsid w:val="00A33A93"/>
    <w:rsid w:val="00AA2E50"/>
    <w:rsid w:val="00AF706B"/>
    <w:rsid w:val="00B526B5"/>
    <w:rsid w:val="00B90D89"/>
    <w:rsid w:val="00BE15CB"/>
    <w:rsid w:val="00C11DCB"/>
    <w:rsid w:val="00C57518"/>
    <w:rsid w:val="00C736E4"/>
    <w:rsid w:val="00CE7D28"/>
    <w:rsid w:val="00CF49A1"/>
    <w:rsid w:val="00D0517D"/>
    <w:rsid w:val="00D648DA"/>
    <w:rsid w:val="00DA1BF7"/>
    <w:rsid w:val="00DE79AD"/>
    <w:rsid w:val="00F6674F"/>
    <w:rsid w:val="00FE1B3D"/>
    <w:rsid w:val="014E6C23"/>
    <w:rsid w:val="0167449C"/>
    <w:rsid w:val="01755D92"/>
    <w:rsid w:val="017A5C51"/>
    <w:rsid w:val="02382D5E"/>
    <w:rsid w:val="02ED7A44"/>
    <w:rsid w:val="031D722D"/>
    <w:rsid w:val="035450F5"/>
    <w:rsid w:val="03A46A30"/>
    <w:rsid w:val="043B3A73"/>
    <w:rsid w:val="04707E30"/>
    <w:rsid w:val="04CB6528"/>
    <w:rsid w:val="055902ED"/>
    <w:rsid w:val="058E3CDA"/>
    <w:rsid w:val="05B23DF3"/>
    <w:rsid w:val="06001B4A"/>
    <w:rsid w:val="06377C52"/>
    <w:rsid w:val="06C7550A"/>
    <w:rsid w:val="0777163D"/>
    <w:rsid w:val="07A77F6F"/>
    <w:rsid w:val="0890516C"/>
    <w:rsid w:val="08A60D55"/>
    <w:rsid w:val="09301243"/>
    <w:rsid w:val="0A0C6ACC"/>
    <w:rsid w:val="0AB146B0"/>
    <w:rsid w:val="0B203631"/>
    <w:rsid w:val="0B4B0FB3"/>
    <w:rsid w:val="0B807908"/>
    <w:rsid w:val="0B9A1AD6"/>
    <w:rsid w:val="0BFC5EFA"/>
    <w:rsid w:val="0C6071CD"/>
    <w:rsid w:val="0C9530A4"/>
    <w:rsid w:val="0D532B07"/>
    <w:rsid w:val="0D7350AB"/>
    <w:rsid w:val="0D7F0750"/>
    <w:rsid w:val="0DF30556"/>
    <w:rsid w:val="0F247CCE"/>
    <w:rsid w:val="0F347882"/>
    <w:rsid w:val="0F5670BC"/>
    <w:rsid w:val="0FE76D61"/>
    <w:rsid w:val="10924A52"/>
    <w:rsid w:val="10B10D52"/>
    <w:rsid w:val="10CE7F1B"/>
    <w:rsid w:val="10F67871"/>
    <w:rsid w:val="119D445C"/>
    <w:rsid w:val="129963DE"/>
    <w:rsid w:val="138233FA"/>
    <w:rsid w:val="13873924"/>
    <w:rsid w:val="13D472FE"/>
    <w:rsid w:val="1462590B"/>
    <w:rsid w:val="1509474D"/>
    <w:rsid w:val="15462845"/>
    <w:rsid w:val="15D666B9"/>
    <w:rsid w:val="15D82CA5"/>
    <w:rsid w:val="15E72149"/>
    <w:rsid w:val="16392663"/>
    <w:rsid w:val="16F13111"/>
    <w:rsid w:val="17626191"/>
    <w:rsid w:val="176D3027"/>
    <w:rsid w:val="17A606C5"/>
    <w:rsid w:val="17B87393"/>
    <w:rsid w:val="17CC5FC2"/>
    <w:rsid w:val="183748F0"/>
    <w:rsid w:val="18C43573"/>
    <w:rsid w:val="192A2870"/>
    <w:rsid w:val="198A055B"/>
    <w:rsid w:val="19B34B81"/>
    <w:rsid w:val="1A1D7A68"/>
    <w:rsid w:val="1A3C0207"/>
    <w:rsid w:val="1ACF0272"/>
    <w:rsid w:val="1AF318D2"/>
    <w:rsid w:val="1AF868AD"/>
    <w:rsid w:val="1B0F67F5"/>
    <w:rsid w:val="1BDC100B"/>
    <w:rsid w:val="1C3B1363"/>
    <w:rsid w:val="1CA2371B"/>
    <w:rsid w:val="1D077DE6"/>
    <w:rsid w:val="1D954F4D"/>
    <w:rsid w:val="1E276D7D"/>
    <w:rsid w:val="1F967BF0"/>
    <w:rsid w:val="1FAF5D7B"/>
    <w:rsid w:val="20457308"/>
    <w:rsid w:val="20A03D31"/>
    <w:rsid w:val="21304C4B"/>
    <w:rsid w:val="22A634CB"/>
    <w:rsid w:val="2439154D"/>
    <w:rsid w:val="24987267"/>
    <w:rsid w:val="25076809"/>
    <w:rsid w:val="250A5D5F"/>
    <w:rsid w:val="25A10BAE"/>
    <w:rsid w:val="25CA6A79"/>
    <w:rsid w:val="25EA605E"/>
    <w:rsid w:val="26510935"/>
    <w:rsid w:val="26801D3B"/>
    <w:rsid w:val="278B260A"/>
    <w:rsid w:val="27F67813"/>
    <w:rsid w:val="28171B23"/>
    <w:rsid w:val="2826591E"/>
    <w:rsid w:val="28CE16EF"/>
    <w:rsid w:val="29AA0244"/>
    <w:rsid w:val="2A2B00DB"/>
    <w:rsid w:val="2A3E4FE0"/>
    <w:rsid w:val="2AA37B12"/>
    <w:rsid w:val="2B1C2869"/>
    <w:rsid w:val="2B3F69C5"/>
    <w:rsid w:val="2C1C22B0"/>
    <w:rsid w:val="2D0314E1"/>
    <w:rsid w:val="2DA74DAA"/>
    <w:rsid w:val="2E274B08"/>
    <w:rsid w:val="2E3E5974"/>
    <w:rsid w:val="2F796E30"/>
    <w:rsid w:val="3090434A"/>
    <w:rsid w:val="30FE6495"/>
    <w:rsid w:val="31513E0F"/>
    <w:rsid w:val="31726486"/>
    <w:rsid w:val="3185700C"/>
    <w:rsid w:val="31DB6751"/>
    <w:rsid w:val="31EB5AD5"/>
    <w:rsid w:val="323432F3"/>
    <w:rsid w:val="329B5463"/>
    <w:rsid w:val="32BB14FE"/>
    <w:rsid w:val="33517D4D"/>
    <w:rsid w:val="335A077B"/>
    <w:rsid w:val="33A75510"/>
    <w:rsid w:val="33CD079A"/>
    <w:rsid w:val="33DF3B04"/>
    <w:rsid w:val="34964163"/>
    <w:rsid w:val="34ED376A"/>
    <w:rsid w:val="34F86ADE"/>
    <w:rsid w:val="35134BFF"/>
    <w:rsid w:val="35545791"/>
    <w:rsid w:val="356B0DB9"/>
    <w:rsid w:val="36732E3D"/>
    <w:rsid w:val="36825EC6"/>
    <w:rsid w:val="369568D3"/>
    <w:rsid w:val="36BF27F4"/>
    <w:rsid w:val="372F57AC"/>
    <w:rsid w:val="379738BE"/>
    <w:rsid w:val="38F23B2E"/>
    <w:rsid w:val="3911360C"/>
    <w:rsid w:val="39156489"/>
    <w:rsid w:val="3A137503"/>
    <w:rsid w:val="3A1B340B"/>
    <w:rsid w:val="3A701A49"/>
    <w:rsid w:val="3A843A55"/>
    <w:rsid w:val="3AAF3768"/>
    <w:rsid w:val="3ACA4E3D"/>
    <w:rsid w:val="3B1A3A67"/>
    <w:rsid w:val="3B4F05EE"/>
    <w:rsid w:val="3BE7388C"/>
    <w:rsid w:val="3C49718B"/>
    <w:rsid w:val="3C835A3B"/>
    <w:rsid w:val="3CC75199"/>
    <w:rsid w:val="3D245FAF"/>
    <w:rsid w:val="3E2B7A0A"/>
    <w:rsid w:val="3ED852E6"/>
    <w:rsid w:val="3EF1768E"/>
    <w:rsid w:val="3FB17208"/>
    <w:rsid w:val="40516ECF"/>
    <w:rsid w:val="405B37BB"/>
    <w:rsid w:val="408D1B7C"/>
    <w:rsid w:val="40CE1B5E"/>
    <w:rsid w:val="4111439A"/>
    <w:rsid w:val="414F1705"/>
    <w:rsid w:val="416F5799"/>
    <w:rsid w:val="418A1E62"/>
    <w:rsid w:val="41B17973"/>
    <w:rsid w:val="42385523"/>
    <w:rsid w:val="42767166"/>
    <w:rsid w:val="42A939E6"/>
    <w:rsid w:val="42AF2F9D"/>
    <w:rsid w:val="43D87E40"/>
    <w:rsid w:val="43FF7910"/>
    <w:rsid w:val="4489274E"/>
    <w:rsid w:val="44C364A3"/>
    <w:rsid w:val="44E86B60"/>
    <w:rsid w:val="45B010FA"/>
    <w:rsid w:val="46291123"/>
    <w:rsid w:val="46493E4E"/>
    <w:rsid w:val="466937A0"/>
    <w:rsid w:val="469D1C47"/>
    <w:rsid w:val="46DB71E0"/>
    <w:rsid w:val="47CF0FF6"/>
    <w:rsid w:val="47D81DDE"/>
    <w:rsid w:val="47FB499D"/>
    <w:rsid w:val="48CB2B0C"/>
    <w:rsid w:val="49714DE1"/>
    <w:rsid w:val="4A075D14"/>
    <w:rsid w:val="4A0A6EC4"/>
    <w:rsid w:val="4AE82A7C"/>
    <w:rsid w:val="4C4A6E2A"/>
    <w:rsid w:val="4C9C3B05"/>
    <w:rsid w:val="4C9E5AA1"/>
    <w:rsid w:val="4CBE5926"/>
    <w:rsid w:val="4D4B05F0"/>
    <w:rsid w:val="4D5678BD"/>
    <w:rsid w:val="4DA11E60"/>
    <w:rsid w:val="4DD06F99"/>
    <w:rsid w:val="4DE11C0D"/>
    <w:rsid w:val="4E3C7658"/>
    <w:rsid w:val="4EB31117"/>
    <w:rsid w:val="4F0F60D0"/>
    <w:rsid w:val="4F2C3620"/>
    <w:rsid w:val="4FC46331"/>
    <w:rsid w:val="503265DA"/>
    <w:rsid w:val="51783F6E"/>
    <w:rsid w:val="51796092"/>
    <w:rsid w:val="51902ECA"/>
    <w:rsid w:val="51D55330"/>
    <w:rsid w:val="52713C38"/>
    <w:rsid w:val="52C661AB"/>
    <w:rsid w:val="52E23B8A"/>
    <w:rsid w:val="538856CA"/>
    <w:rsid w:val="55945956"/>
    <w:rsid w:val="55C245B8"/>
    <w:rsid w:val="55F31970"/>
    <w:rsid w:val="565279B5"/>
    <w:rsid w:val="568742BD"/>
    <w:rsid w:val="56E04A61"/>
    <w:rsid w:val="56E873FB"/>
    <w:rsid w:val="57001F3F"/>
    <w:rsid w:val="581C7BED"/>
    <w:rsid w:val="58320022"/>
    <w:rsid w:val="58950530"/>
    <w:rsid w:val="58FF2AB8"/>
    <w:rsid w:val="59005904"/>
    <w:rsid w:val="597716D6"/>
    <w:rsid w:val="59925EF2"/>
    <w:rsid w:val="59B70ACD"/>
    <w:rsid w:val="59F6657F"/>
    <w:rsid w:val="5A0F0A56"/>
    <w:rsid w:val="5A7F54FA"/>
    <w:rsid w:val="5A984111"/>
    <w:rsid w:val="5B4A68E9"/>
    <w:rsid w:val="5B537ABD"/>
    <w:rsid w:val="5CA01C4B"/>
    <w:rsid w:val="5D385486"/>
    <w:rsid w:val="5D613160"/>
    <w:rsid w:val="5D67059E"/>
    <w:rsid w:val="5DF625AA"/>
    <w:rsid w:val="5E1207C5"/>
    <w:rsid w:val="5E2454C5"/>
    <w:rsid w:val="5E2B47D8"/>
    <w:rsid w:val="5E6F0EC9"/>
    <w:rsid w:val="5EDF7A2C"/>
    <w:rsid w:val="5F430135"/>
    <w:rsid w:val="5FA61408"/>
    <w:rsid w:val="60E91679"/>
    <w:rsid w:val="60ED2E5E"/>
    <w:rsid w:val="61143808"/>
    <w:rsid w:val="615F17EE"/>
    <w:rsid w:val="6196503D"/>
    <w:rsid w:val="62BD18EF"/>
    <w:rsid w:val="64D7398C"/>
    <w:rsid w:val="656E4A59"/>
    <w:rsid w:val="65985194"/>
    <w:rsid w:val="67696A5F"/>
    <w:rsid w:val="67A5533F"/>
    <w:rsid w:val="67FA7F10"/>
    <w:rsid w:val="68B007A9"/>
    <w:rsid w:val="69CD6A7B"/>
    <w:rsid w:val="69D52935"/>
    <w:rsid w:val="6A0A299B"/>
    <w:rsid w:val="6A111B15"/>
    <w:rsid w:val="6A585B05"/>
    <w:rsid w:val="6AB85992"/>
    <w:rsid w:val="6B546122"/>
    <w:rsid w:val="6B73382B"/>
    <w:rsid w:val="6B8F4FA1"/>
    <w:rsid w:val="6B92428B"/>
    <w:rsid w:val="6BF64983"/>
    <w:rsid w:val="6C105FBC"/>
    <w:rsid w:val="6C713F8B"/>
    <w:rsid w:val="6D055ECB"/>
    <w:rsid w:val="6D2A508E"/>
    <w:rsid w:val="6D5955E1"/>
    <w:rsid w:val="6E4E5E57"/>
    <w:rsid w:val="6E5A7176"/>
    <w:rsid w:val="6E7611FC"/>
    <w:rsid w:val="6EA42066"/>
    <w:rsid w:val="6F3252C4"/>
    <w:rsid w:val="6F555CDD"/>
    <w:rsid w:val="700A58EB"/>
    <w:rsid w:val="70494138"/>
    <w:rsid w:val="704A2516"/>
    <w:rsid w:val="70AD11C7"/>
    <w:rsid w:val="715D7DB2"/>
    <w:rsid w:val="717D6834"/>
    <w:rsid w:val="727536FF"/>
    <w:rsid w:val="72B96FC1"/>
    <w:rsid w:val="730951A8"/>
    <w:rsid w:val="7353045D"/>
    <w:rsid w:val="7384547B"/>
    <w:rsid w:val="746749FB"/>
    <w:rsid w:val="748021B6"/>
    <w:rsid w:val="74B56CA0"/>
    <w:rsid w:val="74F1070A"/>
    <w:rsid w:val="75925AF6"/>
    <w:rsid w:val="75954057"/>
    <w:rsid w:val="76393557"/>
    <w:rsid w:val="7703543C"/>
    <w:rsid w:val="779F587C"/>
    <w:rsid w:val="77FD1DE6"/>
    <w:rsid w:val="782564B9"/>
    <w:rsid w:val="784B7854"/>
    <w:rsid w:val="78987EAB"/>
    <w:rsid w:val="79CD071E"/>
    <w:rsid w:val="7A7F07DE"/>
    <w:rsid w:val="7B393491"/>
    <w:rsid w:val="7B9C7518"/>
    <w:rsid w:val="7C16231E"/>
    <w:rsid w:val="7C174B16"/>
    <w:rsid w:val="7C35144E"/>
    <w:rsid w:val="7C3A00AF"/>
    <w:rsid w:val="7C890AAF"/>
    <w:rsid w:val="7CA1766F"/>
    <w:rsid w:val="7D050B89"/>
    <w:rsid w:val="7D3F040B"/>
    <w:rsid w:val="7D843916"/>
    <w:rsid w:val="7DA93D58"/>
    <w:rsid w:val="7DF955AC"/>
    <w:rsid w:val="7E5622F9"/>
    <w:rsid w:val="7E613907"/>
    <w:rsid w:val="7F46574B"/>
    <w:rsid w:val="7F7133D3"/>
    <w:rsid w:val="7F9872DA"/>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0">
    <w:name w:val="Default Paragraph Font"/>
    <w:unhideWhenUsed/>
    <w:uiPriority w:val="1"/>
  </w:style>
  <w:style w:type="table" w:default="1" w:styleId="11">
    <w:name w:val="Normal Table"/>
    <w:unhideWhenUsed/>
    <w:uiPriority w:val="99"/>
    <w:tblPr>
      <w:tblLayout w:type="fixed"/>
      <w:tblCellMar>
        <w:top w:w="0" w:type="dxa"/>
        <w:left w:w="108" w:type="dxa"/>
        <w:bottom w:w="0" w:type="dxa"/>
        <w:right w:w="108" w:type="dxa"/>
      </w:tblCellMar>
    </w:tblPr>
  </w:style>
  <w:style w:type="paragraph" w:styleId="4">
    <w:name w:val="Body Text Indent"/>
    <w:basedOn w:val="1"/>
    <w:qFormat/>
    <w:uiPriority w:val="0"/>
    <w:pPr>
      <w:ind w:firstLine="560" w:firstLineChars="200"/>
    </w:pPr>
    <w:rPr>
      <w:rFonts w:ascii="宋体" w:hAnsi="宋体"/>
      <w:color w:val="000000"/>
      <w:sz w:val="28"/>
    </w:rPr>
  </w:style>
  <w:style w:type="paragraph" w:styleId="5">
    <w:name w:val="Plain Text"/>
    <w:basedOn w:val="1"/>
    <w:qFormat/>
    <w:uiPriority w:val="0"/>
    <w:rPr>
      <w:rFonts w:ascii="宋体" w:hAnsi="Courier New"/>
      <w:szCs w:val="20"/>
    </w:rPr>
  </w:style>
  <w:style w:type="paragraph" w:styleId="6">
    <w:name w:val="Balloon Text"/>
    <w:basedOn w:val="1"/>
    <w:link w:val="12"/>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Indent 3"/>
    <w:basedOn w:val="1"/>
    <w:qFormat/>
    <w:uiPriority w:val="0"/>
    <w:pPr>
      <w:spacing w:line="600" w:lineRule="exact"/>
      <w:ind w:left="480"/>
    </w:pPr>
    <w:rPr>
      <w:rFonts w:ascii="楷体_GB2312" w:eastAsia="楷体_GB2312"/>
      <w:bCs/>
      <w:sz w:val="24"/>
    </w:rPr>
  </w:style>
  <w:style w:type="character" w:customStyle="1" w:styleId="12">
    <w:name w:val="批注框文本 Char"/>
    <w:link w:val="6"/>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山东省财政厅</Company>
  <Pages>1</Pages>
  <Words>969</Words>
  <Characters>5525</Characters>
  <Lines>46</Lines>
  <Paragraphs>12</Paragraphs>
  <TotalTime>0</TotalTime>
  <ScaleCrop>false</ScaleCrop>
  <LinksUpToDate>false</LinksUpToDate>
  <CharactersWithSpaces>6482</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2020-04-10T09:40:00Z</dcterms:created>
  <dc:creator>缑延红</dc:creator>
  <cp:lastModifiedBy>孔凡彪</cp:lastModifiedBy>
  <cp:lastPrinted>2020-05-28T08:21:00Z</cp:lastPrinted>
  <dcterms:modified xsi:type="dcterms:W3CDTF">2020-11-16T08:31:37Z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