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CF76">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both"/>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附件2</w:t>
      </w:r>
    </w:p>
    <w:p w14:paraId="5A0358AE">
      <w:pPr>
        <w:keepNext w:val="0"/>
        <w:keepLines w:val="0"/>
        <w:pageBreakBefore w:val="0"/>
        <w:wordWrap/>
        <w:topLinePunct w:val="0"/>
        <w:bidi w:val="0"/>
        <w:spacing w:line="600" w:lineRule="exact"/>
        <w:jc w:val="center"/>
        <w:rPr>
          <w:rFonts w:ascii="宋体" w:hAnsi="宋体" w:eastAsia="方正小标宋简体" w:cs="方正小标宋简体"/>
          <w:sz w:val="44"/>
          <w:szCs w:val="44"/>
        </w:rPr>
      </w:pPr>
    </w:p>
    <w:p w14:paraId="6CEE1C49">
      <w:pPr>
        <w:keepNext w:val="0"/>
        <w:keepLines w:val="0"/>
        <w:pageBreakBefore w:val="0"/>
        <w:wordWrap/>
        <w:topLinePunct w:val="0"/>
        <w:bidi w:val="0"/>
        <w:spacing w:line="600" w:lineRule="exact"/>
        <w:ind w:left="0" w:leftChars="0" w:firstLine="0" w:firstLineChars="0"/>
        <w:jc w:val="center"/>
        <w:rPr>
          <w:rFonts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lang w:bidi="ar"/>
        </w:rPr>
        <w:t>关于修订</w:t>
      </w:r>
      <w:r>
        <w:rPr>
          <w:rFonts w:ascii="宋体" w:hAnsi="宋体" w:eastAsia="方正小标宋简体" w:cs="方正小标宋简体"/>
          <w:sz w:val="44"/>
          <w:szCs w:val="44"/>
        </w:rPr>
        <w:t>《</w:t>
      </w:r>
      <w:r>
        <w:rPr>
          <w:rFonts w:hint="eastAsia" w:ascii="宋体" w:hAnsi="宋体" w:eastAsia="方正小标宋简体" w:cs="方正小标宋简体"/>
          <w:sz w:val="44"/>
          <w:szCs w:val="44"/>
        </w:rPr>
        <w:t>山东</w:t>
      </w:r>
      <w:r>
        <w:rPr>
          <w:rFonts w:ascii="宋体" w:hAnsi="宋体" w:eastAsia="方正小标宋简体" w:cs="方正小标宋简体"/>
          <w:sz w:val="44"/>
          <w:szCs w:val="44"/>
        </w:rPr>
        <w:t>省水土保持补偿费征收</w:t>
      </w:r>
    </w:p>
    <w:p w14:paraId="5AF544C3">
      <w:pPr>
        <w:keepNext w:val="0"/>
        <w:keepLines w:val="0"/>
        <w:pageBreakBefore w:val="0"/>
        <w:wordWrap/>
        <w:topLinePunct w:val="0"/>
        <w:bidi w:val="0"/>
        <w:spacing w:line="600" w:lineRule="exact"/>
        <w:ind w:left="0" w:leftChars="0" w:firstLine="0" w:firstLineChars="0"/>
        <w:jc w:val="center"/>
        <w:rPr>
          <w:rFonts w:hint="eastAsia" w:ascii="宋体" w:hAnsi="宋体" w:eastAsia="方正小标宋简体" w:cs="方正小标宋简体"/>
          <w:sz w:val="44"/>
          <w:szCs w:val="44"/>
        </w:rPr>
      </w:pPr>
      <w:r>
        <w:rPr>
          <w:rFonts w:ascii="宋体" w:hAnsi="宋体" w:eastAsia="方正小标宋简体" w:cs="方正小标宋简体"/>
          <w:sz w:val="44"/>
          <w:szCs w:val="44"/>
        </w:rPr>
        <w:t>管理办法》</w:t>
      </w:r>
      <w:r>
        <w:rPr>
          <w:rFonts w:hint="eastAsia" w:ascii="宋体" w:hAnsi="宋体" w:eastAsia="方正小标宋简体" w:cs="方正小标宋简体"/>
          <w:sz w:val="44"/>
          <w:szCs w:val="44"/>
        </w:rPr>
        <w:t>起草说明</w:t>
      </w:r>
      <w:bookmarkEnd w:id="0"/>
    </w:p>
    <w:p w14:paraId="0FAC7B5E">
      <w:pPr>
        <w:pStyle w:val="6"/>
        <w:keepNext w:val="0"/>
        <w:keepLines w:val="0"/>
        <w:pageBreakBefore w:val="0"/>
        <w:widowControl/>
        <w:wordWrap/>
        <w:topLinePunct w:val="0"/>
        <w:bidi w:val="0"/>
        <w:spacing w:before="0" w:beforeAutospacing="0" w:after="0" w:afterAutospacing="0" w:line="600" w:lineRule="exact"/>
        <w:ind w:firstLine="640"/>
        <w:jc w:val="both"/>
        <w:rPr>
          <w:rFonts w:ascii="宋体" w:hAnsi="宋体" w:eastAsia="仿宋_GB2312" w:cs="仿宋_GB2312"/>
          <w:color w:val="333333"/>
          <w:sz w:val="32"/>
          <w:szCs w:val="32"/>
          <w:shd w:val="clear" w:color="auto" w:fill="FFFFFF"/>
        </w:rPr>
      </w:pPr>
    </w:p>
    <w:p w14:paraId="37A1DC4F">
      <w:pPr>
        <w:keepNext w:val="0"/>
        <w:keepLines w:val="0"/>
        <w:pageBreakBefore w:val="0"/>
        <w:wordWrap/>
        <w:topLinePunct w:val="0"/>
        <w:bidi w:val="0"/>
        <w:spacing w:line="60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shd w:val="clear" w:color="auto" w:fill="FFFFFF"/>
        </w:rPr>
        <w:t>为进一步规范水土保持补偿费征收使用管理，促进水土流失防治，改善生态环境，省财政厅会同省水利厅等部门，结合中央改革发展要求和我省实际，对</w:t>
      </w:r>
      <w:r>
        <w:rPr>
          <w:rFonts w:hint="eastAsia" w:ascii="宋体" w:hAnsi="宋体" w:eastAsia="仿宋_GB2312" w:cs="仿宋_GB2312"/>
          <w:sz w:val="32"/>
          <w:szCs w:val="32"/>
          <w:lang w:bidi="ar"/>
        </w:rPr>
        <w:t>《</w:t>
      </w:r>
      <w:r>
        <w:rPr>
          <w:rFonts w:hint="eastAsia" w:ascii="宋体" w:hAnsi="宋体" w:eastAsia="仿宋_GB2312" w:cs="仿宋_GB2312"/>
          <w:sz w:val="32"/>
          <w:szCs w:val="32"/>
          <w:shd w:val="clear" w:color="auto" w:fill="FFFFFF"/>
        </w:rPr>
        <w:t>山东省水土保持补偿费征收使用管理办法</w:t>
      </w:r>
      <w:r>
        <w:rPr>
          <w:rFonts w:hint="eastAsia" w:ascii="宋体" w:hAnsi="宋体" w:eastAsia="仿宋_GB2312" w:cs="仿宋_GB2312"/>
          <w:sz w:val="32"/>
          <w:szCs w:val="32"/>
          <w:lang w:bidi="ar"/>
        </w:rPr>
        <w:t>》进行了修改完善，起草了《</w:t>
      </w:r>
      <w:r>
        <w:rPr>
          <w:rFonts w:hint="eastAsia" w:ascii="宋体" w:hAnsi="宋体" w:eastAsia="仿宋_GB2312" w:cs="仿宋_GB2312"/>
          <w:sz w:val="32"/>
          <w:szCs w:val="32"/>
          <w:shd w:val="clear" w:color="auto" w:fill="FFFFFF"/>
        </w:rPr>
        <w:t>山东省水土保持补偿费征收管理办法</w:t>
      </w:r>
      <w:r>
        <w:rPr>
          <w:rFonts w:hint="eastAsia" w:ascii="宋体" w:hAnsi="宋体" w:eastAsia="仿宋_GB2312" w:cs="仿宋_GB2312"/>
          <w:sz w:val="32"/>
          <w:szCs w:val="32"/>
          <w:lang w:bidi="ar"/>
        </w:rPr>
        <w:t>》（以下简称《办法》）。现将文件起草情况说明如下：</w:t>
      </w:r>
    </w:p>
    <w:p w14:paraId="7AFB96DD">
      <w:pPr>
        <w:pStyle w:val="6"/>
        <w:keepNext w:val="0"/>
        <w:keepLines w:val="0"/>
        <w:pageBreakBefore w:val="0"/>
        <w:widowControl/>
        <w:wordWrap/>
        <w:topLinePunct w:val="0"/>
        <w:bidi w:val="0"/>
        <w:spacing w:before="0" w:beforeAutospacing="0" w:after="0" w:afterAutospacing="0" w:line="600" w:lineRule="exact"/>
        <w:ind w:firstLine="640"/>
        <w:jc w:val="both"/>
        <w:rPr>
          <w:rFonts w:hint="eastAsia" w:ascii="宋体" w:hAnsi="宋体" w:eastAsia="黑体" w:cs="黑体"/>
          <w:sz w:val="32"/>
          <w:szCs w:val="32"/>
        </w:rPr>
      </w:pPr>
      <w:r>
        <w:rPr>
          <w:rFonts w:hint="eastAsia" w:ascii="宋体" w:hAnsi="宋体" w:eastAsia="黑体" w:cs="黑体"/>
          <w:sz w:val="32"/>
          <w:szCs w:val="32"/>
          <w:shd w:val="clear" w:color="auto" w:fill="FFFFFF"/>
        </w:rPr>
        <w:t>一、</w:t>
      </w:r>
      <w:r>
        <w:rPr>
          <w:rFonts w:hint="eastAsia" w:ascii="宋体" w:hAnsi="宋体" w:eastAsia="黑体" w:cs="仿宋_GB2312"/>
          <w:sz w:val="32"/>
          <w:szCs w:val="32"/>
          <w:lang w:bidi="ar"/>
        </w:rPr>
        <w:t>《办法》修订的背景</w:t>
      </w:r>
    </w:p>
    <w:p w14:paraId="56993A55">
      <w:pPr>
        <w:keepNext w:val="0"/>
        <w:keepLines w:val="0"/>
        <w:pageBreakBefore w:val="0"/>
        <w:wordWrap/>
        <w:topLinePunct w:val="0"/>
        <w:bidi w:val="0"/>
        <w:spacing w:line="600" w:lineRule="exact"/>
        <w:ind w:firstLine="647"/>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《办法》自</w:t>
      </w:r>
      <w:r>
        <w:rPr>
          <w:rFonts w:hint="eastAsia" w:ascii="宋体" w:hAnsi="宋体" w:eastAsia="仿宋_GB2312" w:cs="仿宋_GB2312"/>
          <w:kern w:val="0"/>
          <w:sz w:val="32"/>
          <w:szCs w:val="32"/>
          <w:shd w:val="clear" w:color="auto" w:fill="FFFFFF"/>
          <w:lang w:bidi="ar"/>
        </w:rPr>
        <w:t>2020年</w:t>
      </w:r>
      <w:r>
        <w:rPr>
          <w:rFonts w:hint="eastAsia" w:ascii="宋体" w:hAnsi="宋体" w:eastAsia="仿宋_GB2312" w:cs="仿宋_GB2312"/>
          <w:sz w:val="32"/>
          <w:szCs w:val="32"/>
          <w:shd w:val="clear" w:color="auto" w:fill="FFFFFF"/>
        </w:rPr>
        <w:t>实施以来，</w:t>
      </w:r>
      <w:r>
        <w:rPr>
          <w:rFonts w:hint="eastAsia" w:ascii="宋体" w:hAnsi="宋体" w:eastAsia="仿宋_GB2312" w:cs="仿宋_GB2312"/>
          <w:kern w:val="0"/>
          <w:sz w:val="32"/>
          <w:szCs w:val="32"/>
          <w:shd w:val="clear" w:color="auto" w:fill="FFFFFF"/>
          <w:lang w:bidi="ar"/>
        </w:rPr>
        <w:t>为规范我省水土保持补偿费征收管理提供了重要依据，在保护我省</w:t>
      </w:r>
      <w:r>
        <w:rPr>
          <w:rFonts w:hint="eastAsia" w:ascii="宋体" w:hAnsi="宋体" w:eastAsia="仿宋_GB2312" w:cs="仿宋_GB2312"/>
          <w:sz w:val="32"/>
          <w:szCs w:val="32"/>
          <w:shd w:val="clear" w:color="auto" w:fill="FFFFFF"/>
        </w:rPr>
        <w:t>水土资源，</w:t>
      </w:r>
      <w:r>
        <w:rPr>
          <w:rFonts w:hint="eastAsia" w:ascii="宋体" w:hAnsi="宋体" w:eastAsia="仿宋_GB2312" w:cs="仿宋_GB2312"/>
          <w:kern w:val="0"/>
          <w:sz w:val="32"/>
          <w:szCs w:val="32"/>
          <w:shd w:val="clear" w:color="auto" w:fill="FFFFFF"/>
          <w:lang w:bidi="ar"/>
        </w:rPr>
        <w:t>控制人为水土流失等方面发挥了重要作用。</w:t>
      </w:r>
      <w:r>
        <w:rPr>
          <w:rFonts w:hint="eastAsia" w:ascii="宋体" w:hAnsi="宋体" w:eastAsia="仿宋_GB2312" w:cs="仿宋_GB2312"/>
          <w:color w:val="000000"/>
          <w:kern w:val="0"/>
          <w:sz w:val="32"/>
          <w:szCs w:val="32"/>
          <w:shd w:val="clear" w:color="auto" w:fill="FFFFFF"/>
          <w:lang w:bidi="ar"/>
        </w:rPr>
        <w:t>近年来，中央和我省陆续发布《关于加强新时代水土保持工作的意见》《关于加强新时代水土保持工作的实施意见》，要求进一步加强水土保持预防保护，加快构建水土保持新格局，对水土保持补偿费征收工作提出了新的要求。2020年财政部印发《关于水土保持补偿费等四项非税收入划转税务部门征收的通知》（财税〔2020〕58号），将水土保持补偿费划转至税务部门征收，亟需对征缴程序进行进一步规范。2023年3月，财政部印发了《关于修改部分文件条款的通知》（财税〔2023〕9号），将《财政部 发展改革委 水利部 人民银行关于印发〈水土保持补偿费征收使用管理办法〉的通知》（财综〔2014〕8号）中的部分条款进行了修改或删除，我省《办法》也需进行相应调整。</w:t>
      </w:r>
    </w:p>
    <w:p w14:paraId="7FFC86D5">
      <w:pPr>
        <w:pStyle w:val="15"/>
        <w:keepNext w:val="0"/>
        <w:keepLines w:val="0"/>
        <w:pageBreakBefore w:val="0"/>
        <w:widowControl/>
        <w:wordWrap/>
        <w:overflowPunct w:val="0"/>
        <w:topLinePunct w:val="0"/>
        <w:bidi w:val="0"/>
        <w:spacing w:line="600" w:lineRule="exact"/>
        <w:ind w:firstLine="640"/>
        <w:rPr>
          <w:rFonts w:hint="eastAsia" w:ascii="宋体" w:hAnsi="宋体" w:eastAsia="黑体" w:cs="黑体"/>
          <w:sz w:val="32"/>
          <w:szCs w:val="32"/>
          <w:shd w:val="clear" w:color="auto" w:fill="FFFFFF"/>
        </w:rPr>
      </w:pPr>
      <w:r>
        <w:rPr>
          <w:rFonts w:hint="eastAsia" w:ascii="宋体" w:hAnsi="宋体" w:eastAsia="黑体" w:cs="黑体"/>
          <w:sz w:val="32"/>
          <w:szCs w:val="32"/>
          <w:shd w:val="clear" w:color="auto" w:fill="FFFFFF"/>
        </w:rPr>
        <w:t>二、</w:t>
      </w:r>
      <w:r>
        <w:rPr>
          <w:rFonts w:hint="eastAsia" w:ascii="宋体" w:hAnsi="宋体" w:eastAsia="黑体" w:cs="宋体"/>
          <w:kern w:val="0"/>
          <w:sz w:val="32"/>
          <w:szCs w:val="32"/>
        </w:rPr>
        <w:t>《办法》</w:t>
      </w:r>
      <w:r>
        <w:rPr>
          <w:rFonts w:hint="eastAsia" w:ascii="宋体" w:hAnsi="宋体" w:eastAsia="黑体" w:cs="仿宋_GB2312"/>
          <w:sz w:val="32"/>
          <w:szCs w:val="32"/>
        </w:rPr>
        <w:t>修订</w:t>
      </w:r>
      <w:r>
        <w:rPr>
          <w:rFonts w:hint="eastAsia" w:ascii="宋体" w:hAnsi="宋体" w:eastAsia="黑体" w:cs="宋体"/>
          <w:kern w:val="0"/>
          <w:sz w:val="32"/>
          <w:szCs w:val="32"/>
        </w:rPr>
        <w:t>的依据</w:t>
      </w:r>
    </w:p>
    <w:p w14:paraId="12A44AF5">
      <w:pPr>
        <w:keepNext w:val="0"/>
        <w:keepLines w:val="0"/>
        <w:pageBreakBefore w:val="0"/>
        <w:wordWrap/>
        <w:topLinePunct w:val="0"/>
        <w:bidi w:val="0"/>
        <w:spacing w:line="600" w:lineRule="exact"/>
        <w:ind w:firstLine="647"/>
        <w:rPr>
          <w:rFonts w:hint="eastAsia" w:ascii="宋体" w:hAnsi="宋体" w:eastAsia="仿宋_GB2312" w:cs="仿宋_GB2312"/>
          <w:color w:val="000000"/>
          <w:kern w:val="0"/>
          <w:sz w:val="32"/>
          <w:szCs w:val="32"/>
          <w:shd w:val="clear" w:color="auto" w:fill="FFFFFF"/>
          <w:lang w:bidi="ar"/>
        </w:rPr>
      </w:pPr>
      <w:r>
        <w:rPr>
          <w:rFonts w:hint="eastAsia" w:ascii="宋体" w:hAnsi="宋体" w:eastAsia="仿宋_GB2312" w:cs="仿宋_GB2312"/>
          <w:color w:val="000000"/>
          <w:kern w:val="0"/>
          <w:sz w:val="32"/>
          <w:szCs w:val="32"/>
          <w:shd w:val="clear" w:color="auto" w:fill="FFFFFF"/>
          <w:lang w:bidi="ar"/>
        </w:rPr>
        <w:t>本次《办法》修订，主要依据《中华人民共和国水土保持法》《山东省水土保持条例》《国务院关于印发推进财政资金统筹使用方案的通知》（国发〔2015〕35号）、《财政部 国家发展改革委 水利部 中国人民银行关于印发〈水土保持补偿费征收使用管理办法〉的通知》（财综〔2014〕8号）、《财政部关于水土保持补偿费等四项政府非税收入划转税务部门征收的通知》（财税〔2020〕58号）、《财政部关于修改部分文件条款的通知》（财税〔2023〕9号）等相关规定。</w:t>
      </w:r>
    </w:p>
    <w:p w14:paraId="1F2F2655">
      <w:pPr>
        <w:keepNext w:val="0"/>
        <w:keepLines w:val="0"/>
        <w:pageBreakBefore w:val="0"/>
        <w:wordWrap/>
        <w:topLinePunct w:val="0"/>
        <w:bidi w:val="0"/>
        <w:spacing w:line="600" w:lineRule="exact"/>
        <w:ind w:firstLine="640" w:firstLineChars="200"/>
        <w:rPr>
          <w:rFonts w:ascii="宋体" w:hAnsi="宋体" w:eastAsia="黑体" w:cs="仿宋_GB2312"/>
          <w:sz w:val="32"/>
          <w:szCs w:val="32"/>
        </w:rPr>
      </w:pPr>
      <w:r>
        <w:rPr>
          <w:rFonts w:hint="eastAsia" w:ascii="宋体" w:hAnsi="宋体" w:eastAsia="黑体" w:cs="仿宋_GB2312"/>
          <w:sz w:val="32"/>
          <w:szCs w:val="32"/>
          <w:lang w:bidi="ar"/>
        </w:rPr>
        <w:t>三、《办法》修订的内容</w:t>
      </w:r>
    </w:p>
    <w:p w14:paraId="0C9B49A1">
      <w:pPr>
        <w:pStyle w:val="6"/>
        <w:keepNext w:val="0"/>
        <w:keepLines w:val="0"/>
        <w:pageBreakBefore w:val="0"/>
        <w:widowControl/>
        <w:wordWrap/>
        <w:topLinePunct w:val="0"/>
        <w:bidi w:val="0"/>
        <w:spacing w:before="0" w:beforeAutospacing="0" w:after="0" w:afterAutospacing="0" w:line="600" w:lineRule="exact"/>
        <w:ind w:firstLine="640"/>
        <w:jc w:val="both"/>
        <w:rPr>
          <w:rFonts w:hint="eastAsia" w:ascii="宋体" w:hAnsi="宋体" w:eastAsia="仿宋_GB2312" w:cs="仿宋_GB2312"/>
          <w:kern w:val="2"/>
          <w:sz w:val="32"/>
          <w:szCs w:val="32"/>
          <w:shd w:val="clear" w:color="auto" w:fill="FFFFFF"/>
        </w:rPr>
      </w:pPr>
      <w:r>
        <w:rPr>
          <w:rFonts w:hint="eastAsia" w:ascii="宋体" w:hAnsi="宋体" w:eastAsia="楷体_GB2312" w:cs="楷体_GB2312"/>
          <w:sz w:val="32"/>
          <w:szCs w:val="32"/>
        </w:rPr>
        <w:t>（一）删除“使用管理”有关内容。</w:t>
      </w:r>
      <w:r>
        <w:rPr>
          <w:rFonts w:hint="eastAsia" w:ascii="宋体" w:hAnsi="宋体" w:eastAsia="仿宋_GB2312" w:cs="仿宋_GB2312"/>
          <w:kern w:val="2"/>
          <w:sz w:val="32"/>
          <w:szCs w:val="32"/>
          <w:shd w:val="clear" w:color="auto" w:fill="FFFFFF"/>
        </w:rPr>
        <w:t>依据《财政部关于修改部分文件条款的通知》（财税〔2023〕9号）等相关规定，中央已删除了“使用管理”章节，因此我省《办法》中对应内容也予以删除,以保持与上位政策的一致性。</w:t>
      </w:r>
    </w:p>
    <w:p w14:paraId="3B7C610A">
      <w:pPr>
        <w:pStyle w:val="6"/>
        <w:keepNext w:val="0"/>
        <w:keepLines w:val="0"/>
        <w:pageBreakBefore w:val="0"/>
        <w:widowControl/>
        <w:wordWrap/>
        <w:topLinePunct w:val="0"/>
        <w:bidi w:val="0"/>
        <w:spacing w:before="0" w:beforeAutospacing="0" w:after="0" w:afterAutospacing="0" w:line="600" w:lineRule="exact"/>
        <w:ind w:firstLine="640"/>
        <w:jc w:val="both"/>
        <w:rPr>
          <w:rFonts w:hint="eastAsia" w:ascii="宋体" w:hAnsi="宋体" w:eastAsia="仿宋_GB2312" w:cs="仿宋_GB2312"/>
          <w:sz w:val="32"/>
          <w:szCs w:val="32"/>
          <w:shd w:val="clear" w:color="auto" w:fill="FFFFFF"/>
        </w:rPr>
      </w:pPr>
      <w:r>
        <w:rPr>
          <w:rFonts w:hint="eastAsia" w:ascii="宋体" w:hAnsi="宋体" w:eastAsia="楷体_GB2312" w:cs="楷体_GB2312"/>
          <w:kern w:val="2"/>
          <w:sz w:val="32"/>
          <w:szCs w:val="32"/>
          <w:shd w:val="clear" w:color="auto" w:fill="FFFFFF"/>
        </w:rPr>
        <w:t>（二）</w:t>
      </w:r>
      <w:r>
        <w:rPr>
          <w:rFonts w:hint="eastAsia" w:ascii="宋体" w:hAnsi="宋体" w:eastAsia="楷体_GB2312" w:cs="楷体_GB2312"/>
          <w:kern w:val="2"/>
          <w:sz w:val="32"/>
          <w:szCs w:val="32"/>
        </w:rPr>
        <w:t>征收部门调整为税务部门。</w:t>
      </w:r>
      <w:r>
        <w:rPr>
          <w:rFonts w:hint="eastAsia" w:ascii="宋体" w:hAnsi="宋体" w:eastAsia="仿宋_GB2312" w:cs="仿宋_GB2312"/>
          <w:sz w:val="32"/>
          <w:szCs w:val="32"/>
          <w:shd w:val="clear" w:color="auto" w:fill="FFFFFF"/>
        </w:rPr>
        <w:t>根据《财政部关于水土保持补偿费等四项非税收入划转税务部门征收的通知》（财税〔2020〕58号）规定，自2021年1月1日起，水土保持补偿费征收工作由税务部门按照属地原则负责。为此，《办法》第六条、第九条、第十一条、第十</w:t>
      </w:r>
      <w:r>
        <w:rPr>
          <w:rFonts w:hint="eastAsia" w:ascii="宋体" w:hAnsi="宋体" w:eastAsia="仿宋_GB2312" w:cs="仿宋_GB2312"/>
          <w:sz w:val="32"/>
          <w:szCs w:val="32"/>
          <w:shd w:val="clear" w:color="auto" w:fill="FFFFFF"/>
          <w:lang w:val="en-US" w:eastAsia="zh-CN"/>
        </w:rPr>
        <w:t>七</w:t>
      </w:r>
      <w:r>
        <w:rPr>
          <w:rFonts w:hint="eastAsia" w:ascii="宋体" w:hAnsi="宋体" w:eastAsia="仿宋_GB2312" w:cs="仿宋_GB2312"/>
          <w:sz w:val="32"/>
          <w:szCs w:val="32"/>
          <w:shd w:val="clear" w:color="auto" w:fill="FFFFFF"/>
        </w:rPr>
        <w:t>条、第十</w:t>
      </w:r>
      <w:r>
        <w:rPr>
          <w:rFonts w:hint="eastAsia" w:ascii="宋体" w:hAnsi="宋体" w:eastAsia="仿宋_GB2312" w:cs="仿宋_GB2312"/>
          <w:sz w:val="32"/>
          <w:szCs w:val="32"/>
          <w:shd w:val="clear" w:color="auto" w:fill="FFFFFF"/>
          <w:lang w:val="en-US" w:eastAsia="zh-CN"/>
        </w:rPr>
        <w:t>八</w:t>
      </w:r>
      <w:r>
        <w:rPr>
          <w:rFonts w:hint="eastAsia" w:ascii="宋体" w:hAnsi="宋体" w:eastAsia="仿宋_GB2312" w:cs="仿宋_GB2312"/>
          <w:sz w:val="32"/>
          <w:szCs w:val="32"/>
          <w:shd w:val="clear" w:color="auto" w:fill="FFFFFF"/>
        </w:rPr>
        <w:t>条中，增加了税务部门负责的征缴入库、退库等相关流程和相关职责内容，明确了税务部门在水土保持补偿费征收工作中的具体任务和要求。</w:t>
      </w:r>
    </w:p>
    <w:p w14:paraId="73F0B82D">
      <w:pPr>
        <w:keepNext w:val="0"/>
        <w:keepLines w:val="0"/>
        <w:pageBreakBefore w:val="0"/>
        <w:widowControl/>
        <w:wordWrap/>
        <w:topLinePunct w:val="0"/>
        <w:bidi w:val="0"/>
        <w:spacing w:line="600" w:lineRule="exact"/>
        <w:ind w:firstLine="642"/>
        <w:rPr>
          <w:rFonts w:hint="eastAsia" w:ascii="宋体" w:hAnsi="宋体" w:eastAsia="仿宋_GB2312" w:cs="仿宋_GB2312"/>
          <w:sz w:val="32"/>
          <w:szCs w:val="32"/>
          <w:shd w:val="clear" w:color="auto" w:fill="FFFFFF"/>
        </w:rPr>
      </w:pPr>
      <w:r>
        <w:rPr>
          <w:rFonts w:hint="eastAsia" w:ascii="宋体" w:hAnsi="宋体" w:eastAsia="楷体_GB2312" w:cs="楷体_GB2312"/>
          <w:spacing w:val="-1"/>
          <w:sz w:val="32"/>
          <w:szCs w:val="32"/>
        </w:rPr>
        <w:t>（三）</w:t>
      </w:r>
      <w:r>
        <w:rPr>
          <w:rFonts w:hint="eastAsia" w:ascii="宋体" w:hAnsi="宋体" w:eastAsia="楷体_GB2312" w:cs="楷体_GB2312"/>
          <w:sz w:val="32"/>
          <w:szCs w:val="32"/>
          <w:shd w:val="clear" w:color="auto" w:fill="FFFFFF"/>
        </w:rPr>
        <w:t>增加对“不需要办理水土保持方案审批手续的生产建设项目”的相关规定</w:t>
      </w:r>
      <w:r>
        <w:rPr>
          <w:rFonts w:hint="eastAsia" w:ascii="宋体" w:hAnsi="宋体" w:eastAsia="楷体_GB2312" w:cs="楷体_GB2312"/>
          <w:spacing w:val="-1"/>
          <w:sz w:val="32"/>
          <w:szCs w:val="32"/>
        </w:rPr>
        <w:t>。</w:t>
      </w:r>
      <w:r>
        <w:rPr>
          <w:rFonts w:hint="eastAsia" w:ascii="宋体" w:hAnsi="宋体" w:eastAsia="仿宋_GB2312" w:cs="仿宋_GB2312"/>
          <w:sz w:val="32"/>
          <w:szCs w:val="32"/>
          <w:shd w:val="clear" w:color="auto" w:fill="FFFFFF"/>
        </w:rPr>
        <w:t>依据《水利部关于进一步深化“放管服”改革全面加强水土保持监管的意见》（水保〔2019〕160号）规定，对征占地面积不足0.5公顷且挖填土石方总量不足1千立方米的项目，不再办理水土保持方案审批手续，但生产建设单位和个人仍需依法做好水土流失防治工作。此次修订在《办法》中</w:t>
      </w:r>
      <w:r>
        <w:rPr>
          <w:rFonts w:hint="eastAsia" w:ascii="宋体" w:hAnsi="宋体" w:eastAsia="仿宋_GB2312" w:cs="仿宋_GB2312"/>
          <w:spacing w:val="-1"/>
          <w:sz w:val="32"/>
          <w:szCs w:val="32"/>
        </w:rPr>
        <w:t>明确了这类不需要办理水土保持方案审批手续的生产建设项目，在缴纳水土保持补偿费时的计征方式，确保了政策的连贯性和可操作性。</w:t>
      </w:r>
    </w:p>
    <w:p w14:paraId="12FD51AB">
      <w:pPr>
        <w:keepNext w:val="0"/>
        <w:keepLines w:val="0"/>
        <w:pageBreakBefore w:val="0"/>
        <w:widowControl/>
        <w:kinsoku w:val="0"/>
        <w:wordWrap/>
        <w:topLinePunct w:val="0"/>
        <w:autoSpaceDE w:val="0"/>
        <w:autoSpaceDN w:val="0"/>
        <w:bidi w:val="0"/>
        <w:spacing w:line="600" w:lineRule="exact"/>
        <w:ind w:right="1" w:firstLine="640" w:firstLineChars="200"/>
        <w:textAlignment w:val="baseline"/>
        <w:rPr>
          <w:rFonts w:hint="eastAsia" w:ascii="仿宋_GB2312" w:hAnsi="仿宋_GB2312" w:cs="仿宋_GB2312"/>
          <w:color w:val="auto"/>
        </w:rPr>
      </w:pPr>
      <w:r>
        <w:rPr>
          <w:rFonts w:hint="eastAsia" w:ascii="宋体" w:hAnsi="宋体" w:eastAsia="楷体_GB2312" w:cs="楷体_GB2312"/>
          <w:sz w:val="32"/>
          <w:szCs w:val="32"/>
          <w:shd w:val="clear" w:color="auto" w:fill="FFFFFF"/>
        </w:rPr>
        <w:t>（四）明确“水利水电工程建设项目水库淹没区不计征水土保持补偿费”。</w:t>
      </w:r>
      <w:r>
        <w:rPr>
          <w:rFonts w:hint="eastAsia" w:ascii="宋体" w:hAnsi="宋体" w:eastAsia="仿宋_GB2312" w:cs="仿宋_GB2312"/>
          <w:sz w:val="32"/>
          <w:szCs w:val="32"/>
          <w:shd w:val="clear" w:color="auto" w:fill="FFFFFF"/>
        </w:rPr>
        <w:t>根据《国家发展改革委 财政部</w:t>
      </w:r>
      <w:r>
        <w:rPr>
          <w:rFonts w:hint="eastAsia" w:ascii="宋体" w:hAnsi="宋体" w:eastAsia="仿宋_GB2312" w:cs="仿宋_GB2312"/>
          <w:kern w:val="0"/>
          <w:sz w:val="32"/>
          <w:szCs w:val="32"/>
          <w:shd w:val="clear" w:color="auto" w:fill="FFFFFF"/>
          <w:lang w:bidi="ar"/>
        </w:rPr>
        <w:t>关于降低电信网码号资源占用费等部分行政事业性收费标准的通知</w:t>
      </w:r>
      <w:r>
        <w:rPr>
          <w:rFonts w:hint="eastAsia" w:ascii="宋体" w:hAnsi="宋体" w:eastAsia="仿宋_GB2312" w:cs="仿宋_GB2312"/>
          <w:sz w:val="32"/>
          <w:szCs w:val="32"/>
          <w:shd w:val="clear" w:color="auto" w:fill="FFFFFF"/>
        </w:rPr>
        <w:t>》</w:t>
      </w:r>
      <w:r>
        <w:rPr>
          <w:rFonts w:hint="eastAsia" w:ascii="宋体" w:hAnsi="宋体" w:eastAsia="仿宋_GB2312" w:cs="仿宋_GB2312"/>
          <w:kern w:val="0"/>
          <w:sz w:val="32"/>
          <w:szCs w:val="32"/>
          <w:shd w:val="clear" w:color="auto" w:fill="FFFFFF"/>
          <w:lang w:bidi="ar"/>
        </w:rPr>
        <w:t>（发改价格〔2017〕1186号）规定，对水利水电工程建设项目，水库淹没区不在水土保持补偿费计征范围之内。因此，在本次《办法》修订中增加了该项内容，进一步规范了水利水电工程建设项目在水土保持补偿费计征方面的具体要求。</w:t>
      </w:r>
    </w:p>
    <w:p w14:paraId="6CF378B8">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仿宋_GB2312" w:hAnsi="仿宋_GB2312" w:cs="仿宋_GB2312"/>
          <w:color w:val="auto"/>
        </w:rPr>
      </w:pPr>
    </w:p>
    <w:p w14:paraId="08ED89F2">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仿宋_GB2312" w:hAnsi="仿宋_GB2312" w:cs="仿宋_GB2312"/>
          <w:color w:val="auto"/>
        </w:rPr>
      </w:pPr>
    </w:p>
    <w:p w14:paraId="3544BE8D">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仿宋_GB2312" w:hAnsi="仿宋_GB2312" w:cs="仿宋_GB2312"/>
          <w:color w:val="auto"/>
        </w:rPr>
      </w:pPr>
    </w:p>
    <w:p w14:paraId="691AC57D">
      <w:pPr>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eastAsia" w:ascii="仿宋_GB2312" w:hAnsi="仿宋_GB2312" w:cs="仿宋_GB2312"/>
          <w:color w:val="auto"/>
        </w:rPr>
      </w:pPr>
    </w:p>
    <w:p w14:paraId="011F964A">
      <w:pPr>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textAlignment w:val="auto"/>
        <w:rPr>
          <w:rFonts w:ascii="黑体" w:hAnsi="黑体" w:eastAsia="黑体" w:cs="黑体"/>
          <w:color w:val="auto"/>
        </w:rPr>
      </w:pPr>
    </w:p>
    <w:sectPr>
      <w:headerReference r:id="rId5" w:type="default"/>
      <w:footerReference r:id="rId6" w:type="default"/>
      <w:pgSz w:w="11906" w:h="16838"/>
      <w:pgMar w:top="1701" w:right="1418" w:bottom="1701" w:left="1418" w:header="851" w:footer="992" w:gutter="0"/>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4B6B">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DB43B0">
                          <w:pPr>
                            <w:pStyle w:val="4"/>
                            <w:ind w:firstLine="480"/>
                            <w:jc w:val="center"/>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4</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DB43B0">
                    <w:pPr>
                      <w:pStyle w:val="4"/>
                      <w:ind w:firstLine="480"/>
                      <w:jc w:val="center"/>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PAGE  \* MERGEFORMAT </w:instrText>
                    </w:r>
                    <w:r>
                      <w:rPr>
                        <w:rFonts w:ascii="宋体" w:hAnsi="宋体" w:eastAsia="宋体" w:cs="宋体"/>
                        <w:sz w:val="24"/>
                        <w:szCs w:val="24"/>
                      </w:rPr>
                      <w:fldChar w:fldCharType="separate"/>
                    </w:r>
                    <w:r>
                      <w:rPr>
                        <w:rFonts w:ascii="宋体" w:hAnsi="宋体" w:eastAsia="宋体" w:cs="宋体"/>
                        <w:sz w:val="24"/>
                        <w:szCs w:val="24"/>
                      </w:rPr>
                      <w:t>4</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18A7">
    <w:pPr>
      <w:pStyle w:val="5"/>
      <w:pBdr>
        <w:top w:val="none" w:color="auto" w:sz="0" w:space="0"/>
        <w:left w:val="none" w:color="auto" w:sz="0" w:space="0"/>
        <w:bottom w:val="none" w:color="auto" w:sz="0" w:space="0"/>
        <w:right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2504E"/>
    <w:rsid w:val="00122268"/>
    <w:rsid w:val="002B68DB"/>
    <w:rsid w:val="003B223B"/>
    <w:rsid w:val="00570275"/>
    <w:rsid w:val="00641E7B"/>
    <w:rsid w:val="006F2F04"/>
    <w:rsid w:val="007C63E7"/>
    <w:rsid w:val="00880902"/>
    <w:rsid w:val="008F44DB"/>
    <w:rsid w:val="0096601E"/>
    <w:rsid w:val="009D66AF"/>
    <w:rsid w:val="00A6186A"/>
    <w:rsid w:val="00A6736C"/>
    <w:rsid w:val="00AF0749"/>
    <w:rsid w:val="00C53CC0"/>
    <w:rsid w:val="00CA200A"/>
    <w:rsid w:val="00DA0CC7"/>
    <w:rsid w:val="00DB50EC"/>
    <w:rsid w:val="00F1178C"/>
    <w:rsid w:val="0EB10F74"/>
    <w:rsid w:val="0FE51EF7"/>
    <w:rsid w:val="157B56E2"/>
    <w:rsid w:val="1FFF50CA"/>
    <w:rsid w:val="22824FE7"/>
    <w:rsid w:val="299C0C1C"/>
    <w:rsid w:val="31D30372"/>
    <w:rsid w:val="34F50FE2"/>
    <w:rsid w:val="42694C83"/>
    <w:rsid w:val="49CF652C"/>
    <w:rsid w:val="4B84337B"/>
    <w:rsid w:val="4F3C328A"/>
    <w:rsid w:val="50221378"/>
    <w:rsid w:val="5792504E"/>
    <w:rsid w:val="59462C4C"/>
    <w:rsid w:val="697B131A"/>
    <w:rsid w:val="6AF84882"/>
    <w:rsid w:val="6B6C68C9"/>
    <w:rsid w:val="6C692CBB"/>
    <w:rsid w:val="70CF37CC"/>
    <w:rsid w:val="731D39E6"/>
    <w:rsid w:val="76EE7E2A"/>
    <w:rsid w:val="798E4BD6"/>
    <w:rsid w:val="7B3B2CDF"/>
    <w:rsid w:val="7E6B01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uiPriority w:val="99"/>
    <w:pPr>
      <w:ind w:left="100" w:leftChars="2500"/>
    </w:pPr>
  </w:style>
  <w:style w:type="paragraph" w:styleId="3">
    <w:name w:val="Balloon Text"/>
    <w:basedOn w:val="1"/>
    <w:link w:val="13"/>
    <w:qFormat/>
    <w:uiPriority w:val="99"/>
    <w:pPr>
      <w:spacing w:line="240" w:lineRule="auto"/>
    </w:pPr>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563C1"/>
      <w:u w:val="single"/>
    </w:rPr>
  </w:style>
  <w:style w:type="character" w:customStyle="1" w:styleId="11">
    <w:name w:val="Footer Char"/>
    <w:basedOn w:val="8"/>
    <w:link w:val="4"/>
    <w:semiHidden/>
    <w:qFormat/>
    <w:uiPriority w:val="99"/>
    <w:rPr>
      <w:rFonts w:eastAsia="仿宋_GB2312"/>
      <w:sz w:val="18"/>
      <w:szCs w:val="18"/>
    </w:rPr>
  </w:style>
  <w:style w:type="character" w:customStyle="1" w:styleId="12">
    <w:name w:val="Header Char"/>
    <w:basedOn w:val="8"/>
    <w:link w:val="5"/>
    <w:semiHidden/>
    <w:qFormat/>
    <w:uiPriority w:val="99"/>
    <w:rPr>
      <w:rFonts w:eastAsia="仿宋_GB2312"/>
      <w:sz w:val="18"/>
      <w:szCs w:val="18"/>
    </w:rPr>
  </w:style>
  <w:style w:type="character" w:customStyle="1" w:styleId="13">
    <w:name w:val="Balloon Text Char"/>
    <w:basedOn w:val="8"/>
    <w:link w:val="3"/>
    <w:qFormat/>
    <w:locked/>
    <w:uiPriority w:val="99"/>
    <w:rPr>
      <w:rFonts w:eastAsia="仿宋_GB2312" w:cs="Times New Roman"/>
      <w:kern w:val="2"/>
      <w:sz w:val="18"/>
      <w:szCs w:val="18"/>
    </w:rPr>
  </w:style>
  <w:style w:type="character" w:customStyle="1" w:styleId="14">
    <w:name w:val="Date Char"/>
    <w:basedOn w:val="8"/>
    <w:link w:val="2"/>
    <w:qFormat/>
    <w:locked/>
    <w:uiPriority w:val="99"/>
    <w:rPr>
      <w:rFonts w:eastAsia="仿宋_GB2312" w:cs="Times New Roman"/>
      <w:kern w:val="2"/>
      <w:sz w:val="24"/>
      <w:szCs w:val="24"/>
    </w:rPr>
  </w:style>
  <w:style w:type="paragraph" w:customStyle="1" w:styleId="15">
    <w:name w:val="列出段落1"/>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5116</Words>
  <Characters>5263</Characters>
  <Lines>0</Lines>
  <Paragraphs>0</Paragraphs>
  <TotalTime>1</TotalTime>
  <ScaleCrop>false</ScaleCrop>
  <LinksUpToDate>false</LinksUpToDate>
  <CharactersWithSpaces>5390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2024-10-22T07:20:00Z</dcterms:created>
  <dc:creator>徐华歌</dc:creator>
  <cp:lastModifiedBy>Administrator</cp:lastModifiedBy>
  <cp:lastPrinted>2025-04-03T04:01:00Z</cp:lastPrinted>
  <dcterms:modified xsi:type="dcterms:W3CDTF">2025-04-03T07:23:29Z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eyJoZGlkIjoiMzRkY2Y1ZjE4YTJjZDVlMWUzNjRlMDFlMDg4YWI0YmEifQ==</vt:lpwstr>
  </property>
  <property fmtid="{D5CDD505-2E9C-101B-9397-08002B2CF9AE}" pid="4" name="ICV">
    <vt:lpwstr>50B08C094E6E483BA0E6BDEA9A2A576B_12</vt:lpwstr>
  </property>
</Properties>
</file>