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黑体" w:hAnsi="黑体" w:eastAsia="黑体" w:cs="宋体"/>
          <w:b/>
          <w:bCs/>
          <w:color w:val="000000"/>
          <w:kern w:val="0"/>
          <w:sz w:val="40"/>
          <w:szCs w:val="40"/>
        </w:rPr>
      </w:pPr>
      <w:r>
        <w:rPr>
          <w:rFonts w:hint="eastAsia" w:ascii="黑体" w:hAnsi="黑体" w:eastAsia="黑体"/>
          <w:color w:val="000000" w:themeColor="text1"/>
          <w:sz w:val="32"/>
          <w:szCs w:val="32"/>
          <w14:textFill>
            <w14:solidFill>
              <w14:schemeClr w14:val="tx1"/>
            </w14:solidFill>
          </w14:textFill>
        </w:rPr>
        <w:t>附件3</w:t>
      </w:r>
    </w:p>
    <w:p>
      <w:pPr>
        <w:jc w:val="center"/>
        <w:rPr>
          <w:rFonts w:hint="eastAsia" w:ascii="方正小标宋简体" w:hAnsi="华文中宋" w:eastAsia="方正小标宋简体"/>
          <w:color w:val="000000" w:themeColor="text1"/>
          <w:sz w:val="40"/>
          <w:szCs w:val="40"/>
          <w14:textFill>
            <w14:solidFill>
              <w14:schemeClr w14:val="tx1"/>
            </w14:solidFill>
          </w14:textFill>
        </w:rPr>
      </w:pPr>
      <w:bookmarkStart w:id="0" w:name="_GoBack"/>
      <w:r>
        <w:rPr>
          <w:rFonts w:hint="eastAsia" w:ascii="方正小标宋简体" w:hAnsi="华文中宋" w:eastAsia="方正小标宋简体"/>
          <w:color w:val="000000" w:themeColor="text1"/>
          <w:sz w:val="40"/>
          <w:szCs w:val="40"/>
          <w14:textFill>
            <w14:solidFill>
              <w14:schemeClr w14:val="tx1"/>
            </w14:solidFill>
          </w14:textFill>
        </w:rPr>
        <w:t>2020年度行政事业单位内部控制报告数据质量自查表</w:t>
      </w:r>
    </w:p>
    <w:bookmarkEnd w:id="0"/>
    <w:p>
      <w:pPr>
        <w:outlineLvl w:val="0"/>
        <w:rPr>
          <w:rFonts w:ascii="宋体" w:hAnsi="宋体" w:cs="宋体"/>
          <w:color w:val="080000"/>
          <w:kern w:val="0"/>
          <w:sz w:val="22"/>
          <w:szCs w:val="22"/>
        </w:rPr>
      </w:pPr>
    </w:p>
    <w:p>
      <w:pPr>
        <w:outlineLvl w:val="0"/>
        <w:rPr>
          <w:rFonts w:ascii="宋体" w:hAnsi="宋体" w:cs="宋体"/>
          <w:color w:val="080000"/>
          <w:kern w:val="0"/>
          <w:sz w:val="22"/>
          <w:szCs w:val="22"/>
        </w:rPr>
      </w:pPr>
      <w:r>
        <w:rPr>
          <w:rFonts w:hint="eastAsia" w:ascii="宋体" w:hAnsi="宋体" w:cs="宋体"/>
          <w:color w:val="080000"/>
          <w:kern w:val="0"/>
          <w:sz w:val="22"/>
          <w:szCs w:val="22"/>
        </w:rPr>
        <w:t xml:space="preserve">编制地区（部门）：                                填报人：                                       报送日期： </w:t>
      </w:r>
    </w:p>
    <w:tbl>
      <w:tblPr>
        <w:tblStyle w:val="5"/>
        <w:tblW w:w="13948" w:type="dxa"/>
        <w:tblInd w:w="0" w:type="dxa"/>
        <w:tblLayout w:type="fixed"/>
        <w:tblCellMar>
          <w:top w:w="0" w:type="dxa"/>
          <w:left w:w="108" w:type="dxa"/>
          <w:bottom w:w="0" w:type="dxa"/>
          <w:right w:w="108" w:type="dxa"/>
        </w:tblCellMar>
      </w:tblPr>
      <w:tblGrid>
        <w:gridCol w:w="1414"/>
        <w:gridCol w:w="2511"/>
        <w:gridCol w:w="4508"/>
        <w:gridCol w:w="2762"/>
        <w:gridCol w:w="2753"/>
      </w:tblGrid>
      <w:tr>
        <w:tblPrEx>
          <w:tblCellMar>
            <w:top w:w="0" w:type="dxa"/>
            <w:left w:w="108" w:type="dxa"/>
            <w:bottom w:w="0" w:type="dxa"/>
            <w:right w:w="108" w:type="dxa"/>
          </w:tblCellMar>
        </w:tblPrEx>
        <w:trPr>
          <w:cantSplit/>
          <w:trHeight w:val="525" w:hRule="atLeast"/>
          <w:tblHeader/>
        </w:trPr>
        <w:tc>
          <w:tcPr>
            <w:tcW w:w="3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审核指标</w:t>
            </w:r>
          </w:p>
        </w:tc>
        <w:tc>
          <w:tcPr>
            <w:tcW w:w="45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审核要求</w:t>
            </w:r>
          </w:p>
        </w:tc>
        <w:tc>
          <w:tcPr>
            <w:tcW w:w="27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审核结果</w:t>
            </w:r>
          </w:p>
        </w:tc>
        <w:tc>
          <w:tcPr>
            <w:tcW w:w="27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情况说明</w:t>
            </w:r>
          </w:p>
        </w:tc>
      </w:tr>
      <w:tr>
        <w:tblPrEx>
          <w:tblCellMar>
            <w:top w:w="0" w:type="dxa"/>
            <w:left w:w="108" w:type="dxa"/>
            <w:bottom w:w="0" w:type="dxa"/>
            <w:right w:w="108" w:type="dxa"/>
          </w:tblCellMar>
        </w:tblPrEx>
        <w:trPr>
          <w:cantSplit/>
          <w:trHeight w:val="825" w:hRule="atLeast"/>
        </w:trPr>
        <w:tc>
          <w:tcPr>
            <w:tcW w:w="1414"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一、报告材料的规范性</w:t>
            </w: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报告编制符合规定格式，报送手续齐全。</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报告材料完整，数据填列齐全，装订规范，不得缺少张页；报告封面指标填列完整，正式行文报送时需经部门主要负责人签字或盖章，并加盖单位行政公章。</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审核通过/审核不通过</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825" w:hRule="atLeast"/>
        </w:trPr>
        <w:tc>
          <w:tcPr>
            <w:tcW w:w="14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二、基础数据的规范性</w:t>
            </w: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（一）电子树形结构规范、清晰。</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应按照预算管理级次，逐级建立内控报告数据的树形结构，不存在树形外的单位节点。</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树形结构清晰/树形结构混乱</w:t>
            </w:r>
          </w:p>
        </w:tc>
        <w:tc>
          <w:tcPr>
            <w:tcW w:w="2753"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1021"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（二）报告内容规范，不存在超出枚举范围的下拉选择项内容。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报告中存在大量下拉选择项，须保证单位填录内容在下拉选项的枚举范围内。</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审核通过/审核不通过</w:t>
            </w:r>
          </w:p>
        </w:tc>
        <w:tc>
          <w:tcPr>
            <w:tcW w:w="2753"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84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（三）公式审核无误，勾稽关系准确。</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表内、表间勾稽关系正确，无技术性错误。</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公式审核无误/部分单位存在审核错误</w:t>
            </w:r>
          </w:p>
        </w:tc>
        <w:tc>
          <w:tcPr>
            <w:tcW w:w="2753" w:type="dxa"/>
            <w:tcBorders>
              <w:top w:val="nil"/>
              <w:left w:val="nil"/>
              <w:bottom w:val="single" w:color="auto" w:sz="4" w:space="0"/>
              <w:right w:val="single" w:color="auto" w:sz="4" w:space="0"/>
            </w:tcBorders>
            <w:shd w:val="clear" w:color="auto" w:fill="auto"/>
            <w:vAlign w:val="center"/>
          </w:tcPr>
          <w:p>
            <w:pPr>
              <w:widowControl/>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150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（四）隶属关系与实际预算管理级次一致</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隶属关系”按照单位实际预算管理级次填写，县级所属单位，隶属关系全都为该县；市级单位，隶属关系全部为该市（代码后2位为“00”）；省级单位，隶属关系全部为该省（代码后4位为“0000”）；中央单位，隶属关系全部为中央。</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审核通过/审核不通过</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675" w:hRule="atLeast"/>
        </w:trPr>
        <w:tc>
          <w:tcPr>
            <w:tcW w:w="141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三、上下年数据变动合理性</w:t>
            </w: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（一）报送户数变动合理。</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上下年度数据衔接一致，两年报送的单户数量变化合理，差异过大应当说明。</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675" w:hRule="atLeast"/>
        </w:trPr>
        <w:tc>
          <w:tcPr>
            <w:tcW w:w="14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（二）年末总资产账面金额变动合理</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上下年度数据衔接一致，年末总资产账面金额变化合理，差异过大应当说明。</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900" w:hRule="atLeast"/>
        </w:trPr>
        <w:tc>
          <w:tcPr>
            <w:tcW w:w="14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四、业务数据的准确性，同口径数据一致</w:t>
            </w: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（一）“年末在职人数”核对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“年末在职人数”应当与部门决算《基本数字表》（财决附02表）第4栏合计数一致，即“年末职工人数”中“人员总计”的“在职人员”合计数。</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90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（二）“应上缴非税收入金额”核对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“应上缴非税收入金额”应当与决算报表的《非税收入征缴情况表》（财决附04表）中纳入预算管理以及纳入财政专户管理的非税收入合计数一致，即表第2栏次第1行合计数加第7栏次第1行合计数（单位：元）。</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90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（三）“实际上缴非税收入金额”核对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实际上缴非税收入”应当与决算报表的《非税收入征缴情况表》（财决附04表）中纳入预算管理的已缴国库小计数及纳入财政专户管理的已缴财政专户小计数之和一致，即表第3栏次第1行合计数加第8栏次第1行合计数（单位：元）。</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90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（四）“本年支出预算金额”核对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“本年支出预算金额”，应当与本年决算报表的《收入支出决算总表》（财决01表）中本年支出的调整预算数一致，即表第8栏次第84行合计数（单位：元）</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90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（五）“本年实际支出总额”核对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“本年实际支出总额”应当与2020年决算报表的《收入支出决算总表》（财决01表）中本年支出的决算数一致，即表第9栏次第84行合计数（单位：元）。</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120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（六）“上年‘三公’经费决算数”核对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“上年‘三公’经费决算数”应当与2019年决算报表的《机构运行信息表》（财决附03表）中“三公”经费支出的支出合计数一致，即表第2栏次第2行统计数（单位：元）</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120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（七）“本年‘三公’经费决算数”核对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“本年‘三公’经费决算数”应当与2020年决算报表的《机构运行信息表》（财决附03表）中“三公”经费支出的支出合计数一致，即表第2栏次第2行统计数（单位：元）。</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900"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（八）“本年实际采购金额”核对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“本年实际采购金额”应当与决算报表《机构运行信息表》（财决附03表）第3栏次第40行“政府采购支出合计”的统计数（单位：元）一致。</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596"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（九）“年末总资产账面金额”核对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基层单位的“年末总资产账面金额”应当与国有资产报表《资产负债表》（财资01表）中第2栏次第1行资产合计期末数（单位：元）一致；汇总单位的“年末总资产账面金额”应当与国有资产报表《资产负债汇总表》（财资综01表）中第2栏次第1行资产合计期末数（单位：元）一致。</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3006"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（十）“固定资产本期减少额”核对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基层单位的“固定资产本期减少额”应当与国有资产报表中《资产处置情况表》（财资10表）中本期减少的固定资产账面原值，即表第6栏次第1行固定资产原值小计数（单位：元）一致；汇总单位的“固定资产本期减少额”应当与国有资产报表中《资产处置情况汇总表》（财资综06表）中本期减少的固定资产账面原值，即表第2栏次第3行固定资产账面原值小计数（单位：元）一致</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1405"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（十一）“年度实际投资额”核对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“年度实际投资额”应当与决算报表《项目支出决算明细表》（财决05-2表）“资本性支出（基本建设）” 第62栏次第1行小计数（单位：元）一致。</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一致/差异在10%以内/差异较大需要说明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1415" w:hRule="atLeast"/>
        </w:trPr>
        <w:tc>
          <w:tcPr>
            <w:tcW w:w="141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五、数值型指标的合理性</w:t>
            </w: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（一）“内部控制机构运行情况”异常值排查核对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本年单位内部控制领导小组会议次数、本年单位开展内部控制专题培训次数、内部控制相关问题数量、通过内部控制体系进行整改的问题数量不存在不合理的异常值。</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无异常/存在异常需要说明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1261" w:hRule="atLeast"/>
        </w:trPr>
        <w:tc>
          <w:tcPr>
            <w:tcW w:w="141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（二）“内部控制制度执行情况”异常值排查核对</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所有数值型数据，不存在不合理的异常值，尤其项目数量、合同订立数、经合法性审查的合同数不能误填为金额。</w:t>
            </w:r>
          </w:p>
        </w:tc>
        <w:tc>
          <w:tcPr>
            <w:tcW w:w="276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无异常/存在异常需要说明</w:t>
            </w:r>
          </w:p>
        </w:tc>
        <w:tc>
          <w:tcPr>
            <w:tcW w:w="275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r>
      <w:tr>
        <w:tblPrEx>
          <w:tblCellMar>
            <w:top w:w="0" w:type="dxa"/>
            <w:left w:w="108" w:type="dxa"/>
            <w:bottom w:w="0" w:type="dxa"/>
            <w:right w:w="108" w:type="dxa"/>
          </w:tblCellMar>
        </w:tblPrEx>
        <w:trPr>
          <w:cantSplit/>
          <w:trHeight w:val="630" w:hRule="atLeast"/>
        </w:trPr>
        <w:tc>
          <w:tcPr>
            <w:tcW w:w="1414"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六、内控报告抽查审核情况</w:t>
            </w:r>
          </w:p>
        </w:tc>
        <w:tc>
          <w:tcPr>
            <w:tcW w:w="701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抽查户数</w:t>
            </w:r>
          </w:p>
        </w:tc>
        <w:tc>
          <w:tcPr>
            <w:tcW w:w="5515" w:type="dxa"/>
            <w:gridSpan w:val="2"/>
            <w:tcBorders>
              <w:top w:val="nil"/>
              <w:left w:val="nil"/>
              <w:bottom w:val="single" w:color="auto" w:sz="4" w:space="0"/>
              <w:right w:val="single" w:color="auto" w:sz="4" w:space="0"/>
            </w:tcBorders>
            <w:shd w:val="clear" w:color="auto" w:fill="auto"/>
            <w:vAlign w:val="center"/>
          </w:tcPr>
          <w:p>
            <w:pPr>
              <w:widowControl/>
              <w:ind w:right="440"/>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（请填列抽查的单位户数）</w:t>
            </w:r>
          </w:p>
        </w:tc>
      </w:tr>
      <w:tr>
        <w:tblPrEx>
          <w:tblCellMar>
            <w:top w:w="0" w:type="dxa"/>
            <w:left w:w="108" w:type="dxa"/>
            <w:bottom w:w="0" w:type="dxa"/>
            <w:right w:w="108" w:type="dxa"/>
          </w:tblCellMar>
        </w:tblPrEx>
        <w:trPr>
          <w:cantSplit/>
          <w:trHeight w:val="630" w:hRule="atLeast"/>
        </w:trPr>
        <w:tc>
          <w:tcPr>
            <w:tcW w:w="1414" w:type="dxa"/>
            <w:vMerge w:val="continue"/>
            <w:tcBorders>
              <w:top w:val="nil"/>
              <w:left w:val="single" w:color="auto" w:sz="4" w:space="0"/>
              <w:bottom w:val="nil"/>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7019"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抽查单位</w:t>
            </w:r>
          </w:p>
        </w:tc>
        <w:tc>
          <w:tcPr>
            <w:tcW w:w="55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（请填列抽查的具体单位名称）</w:t>
            </w:r>
          </w:p>
        </w:tc>
      </w:tr>
      <w:tr>
        <w:tblPrEx>
          <w:tblCellMar>
            <w:top w:w="0" w:type="dxa"/>
            <w:left w:w="108" w:type="dxa"/>
            <w:bottom w:w="0" w:type="dxa"/>
            <w:right w:w="108" w:type="dxa"/>
          </w:tblCellMar>
        </w:tblPrEx>
        <w:trPr>
          <w:cantSplit/>
          <w:trHeight w:val="1500" w:hRule="atLeast"/>
        </w:trPr>
        <w:tc>
          <w:tcPr>
            <w:tcW w:w="141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p>
        </w:tc>
        <w:tc>
          <w:tcPr>
            <w:tcW w:w="251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按照规定要求开展了检查，确保了内部控制报告质量</w:t>
            </w:r>
          </w:p>
        </w:tc>
        <w:tc>
          <w:tcPr>
            <w:tcW w:w="4508"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各地区、各部门应当抽取一定比例的所属单位，对其内部控制报告内容的真实性、完整性、规范性和内部控制报告编报工作进行检查。</w:t>
            </w:r>
          </w:p>
        </w:tc>
        <w:tc>
          <w:tcPr>
            <w:tcW w:w="55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（请填列抽查情况，包括抽查发现的问题、整改情况等）</w:t>
            </w:r>
          </w:p>
        </w:tc>
      </w:tr>
    </w:tbl>
    <w:p>
      <w:pPr>
        <w:rPr>
          <w:rFonts w:hint="eastAsia" w:ascii="仿宋_GB2312" w:eastAsia="仿宋_GB2312"/>
        </w:rPr>
      </w:pPr>
      <w:r>
        <w:rPr>
          <w:rFonts w:hint="eastAsia" w:ascii="仿宋_GB2312" w:eastAsia="仿宋_GB2312"/>
        </w:rPr>
        <w:t>注：上下年数据差异率，以上年数据为计算基数；同口径数据差异率，以部门决算、资产报告等外部数据为计算基数。</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正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正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文泉驿正黑"/>
    <w:panose1 w:val="00000000000000000000"/>
    <w:charset w:val="86"/>
    <w:family w:val="auto"/>
    <w:pitch w:val="default"/>
    <w:sig w:usb0="00000000" w:usb1="00000000" w:usb2="00000016" w:usb3="00000000" w:csb0="0004000F" w:csb1="00000000"/>
  </w:font>
  <w:font w:name="等线">
    <w:altName w:val="文泉驿正黑"/>
    <w:panose1 w:val="00000000000000000000"/>
    <w:charset w:val="86"/>
    <w:family w:val="auto"/>
    <w:pitch w:val="default"/>
    <w:sig w:usb0="00000000" w:usb1="00000000" w:usb2="00000000" w:usb3="00000000" w:csb0="00000000" w:csb1="00000000"/>
  </w:font>
  <w:font w:name="等线">
    <w:altName w:val="文泉驿正黑"/>
    <w:panose1 w:val="00000000000000000000"/>
    <w:charset w:val="00"/>
    <w:family w:val="auto"/>
    <w:pitch w:val="default"/>
    <w:sig w:usb0="00000000" w:usb1="00000000" w:usb2="00000000" w:usb3="00000000" w:csb0="00000000" w:csb1="00000000"/>
  </w:font>
  <w:font w:name="仿宋_GB2312">
    <w:altName w:val="文泉驿正黑"/>
    <w:panose1 w:val="02010609030101010101"/>
    <w:charset w:val="86"/>
    <w:family w:val="modern"/>
    <w:pitch w:val="default"/>
    <w:sig w:usb0="00000000" w:usb1="00000000" w:usb2="00000010" w:usb3="00000000" w:csb0="00040000" w:csb1="00000000"/>
  </w:font>
  <w:font w:name="方正小标宋简体">
    <w:altName w:val="文泉驿正黑"/>
    <w:panose1 w:val="03000509000000000000"/>
    <w:charset w:val="86"/>
    <w:family w:val="script"/>
    <w:pitch w:val="default"/>
    <w:sig w:usb0="00000000" w:usb1="00000000" w:usb2="00000010" w:usb3="00000000" w:csb0="00040000" w:csb1="00000000"/>
  </w:font>
  <w:font w:name="华文中宋">
    <w:altName w:val="文泉驿正黑"/>
    <w:panose1 w:val="02010600040101010101"/>
    <w:charset w:val="86"/>
    <w:family w:val="auto"/>
    <w:pitch w:val="default"/>
    <w:sig w:usb0="00000000" w:usb1="00000000" w:usb2="00000010" w:usb3="00000000" w:csb0="0004009F"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4D"/>
    <w:rsid w:val="00027422"/>
    <w:rsid w:val="000275DB"/>
    <w:rsid w:val="000C226E"/>
    <w:rsid w:val="000D383F"/>
    <w:rsid w:val="00133E2A"/>
    <w:rsid w:val="001504F7"/>
    <w:rsid w:val="001C6F33"/>
    <w:rsid w:val="001F0C0E"/>
    <w:rsid w:val="002813DB"/>
    <w:rsid w:val="00294AE1"/>
    <w:rsid w:val="00344108"/>
    <w:rsid w:val="003B26A2"/>
    <w:rsid w:val="003D34C4"/>
    <w:rsid w:val="00420C20"/>
    <w:rsid w:val="0043337F"/>
    <w:rsid w:val="00444AE1"/>
    <w:rsid w:val="00487D28"/>
    <w:rsid w:val="004A60A8"/>
    <w:rsid w:val="004B5A86"/>
    <w:rsid w:val="004C1A63"/>
    <w:rsid w:val="004E54D8"/>
    <w:rsid w:val="006515AE"/>
    <w:rsid w:val="00682C07"/>
    <w:rsid w:val="008C469D"/>
    <w:rsid w:val="009F1896"/>
    <w:rsid w:val="00A04DD2"/>
    <w:rsid w:val="00A52D05"/>
    <w:rsid w:val="00A968DC"/>
    <w:rsid w:val="00B93A99"/>
    <w:rsid w:val="00C53290"/>
    <w:rsid w:val="00CC5183"/>
    <w:rsid w:val="00D00ABE"/>
    <w:rsid w:val="00E36938"/>
    <w:rsid w:val="00E36BA4"/>
    <w:rsid w:val="00E62BE5"/>
    <w:rsid w:val="00E83B2A"/>
    <w:rsid w:val="00EE3A4D"/>
    <w:rsid w:val="00EF72B5"/>
    <w:rsid w:val="00F62D5F"/>
    <w:rsid w:val="0BA15F15"/>
    <w:rsid w:val="1ADF72CB"/>
    <w:rsid w:val="26D72D71"/>
    <w:rsid w:val="2C8E7B8C"/>
    <w:rsid w:val="2CE15FF8"/>
    <w:rsid w:val="2DED706C"/>
    <w:rsid w:val="2EB113B8"/>
    <w:rsid w:val="43F72433"/>
    <w:rsid w:val="478F112F"/>
    <w:rsid w:val="592663A1"/>
    <w:rsid w:val="5D21641C"/>
    <w:rsid w:val="632E653E"/>
    <w:rsid w:val="7677D1DE"/>
    <w:rsid w:val="78646BD9"/>
    <w:rsid w:val="7A08533A"/>
    <w:rsid w:val="7A7E1054"/>
    <w:rsid w:val="7F6C0870"/>
    <w:rsid w:val="ED99CC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rFonts w:ascii="宋体"/>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semiHidden/>
    <w:qFormat/>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401</Words>
  <Characters>2288</Characters>
  <Lines>19</Lines>
  <Paragraphs>5</Paragraphs>
  <TotalTime>2</TotalTime>
  <ScaleCrop>false</ScaleCrop>
  <LinksUpToDate>false</LinksUpToDate>
  <CharactersWithSpaces>2684</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2020-12-10T07:29:00Z</dcterms:created>
  <dc:creator>曼</dc:creator>
  <cp:lastModifiedBy>user</cp:lastModifiedBy>
  <cp:lastPrinted>2020-12-11T08:13:00Z</cp:lastPrinted>
  <dcterms:modified xsi:type="dcterms:W3CDTF">2021-06-02T10:53:45Z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