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185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</w:p>
    <w:p w14:paraId="4A2B75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关于支持发展新型文化业态</w:t>
      </w:r>
    </w:p>
    <w:p w14:paraId="32D01F4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推动文旅体消费提质升级的若干政策措施</w:t>
      </w:r>
    </w:p>
    <w:p w14:paraId="3ED0B2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（征求意见稿）</w:t>
      </w:r>
    </w:p>
    <w:p w14:paraId="37E75EE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宋体" w:hAnsi="宋体" w:eastAsia="宋体" w:cs="宋体"/>
          <w:kern w:val="2"/>
          <w:sz w:val="32"/>
          <w:szCs w:val="32"/>
          <w:lang w:val="en-US" w:eastAsia="zh-CN" w:bidi="ar-SA"/>
        </w:rPr>
      </w:pPr>
    </w:p>
    <w:p w14:paraId="2FE75B6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为进一步贯彻落实省委、省政府关于推进服务业扩能提质的工作部署，充分发挥新型文化业态在促进文化产业发展、提振扩大消费方面的重要作用，推进文旅体消费新业态新场景有机融合，制定以下政策措施。</w:t>
      </w:r>
    </w:p>
    <w:p w14:paraId="6C5A0A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一、支持培育数字文化新业态</w:t>
      </w:r>
    </w:p>
    <w:p w14:paraId="45194F9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1.打造数字文化产业创新高地。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鼓励各市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出台扶持政策，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支持实施科技强文行动计划、落实文化科技深度融合协同创新等政策措施，助力数字文化企业加大创新研发投入力度、抢占产业竞争制高点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提升文化新业态企业整体规模质量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。省级统筹资金，围绕各市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初创企业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发展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新业态企业培育、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园区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平台打造等，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遴选符合条件的市给予资金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支持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；对文化新业态企业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科技研发、技术产业化攻关、技术改造投入提升明显的市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给予资金支持。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（牵头单位：省委宣传部、省财政厅，责任单位：省文化和旅游厅、省广电局）</w:t>
      </w:r>
    </w:p>
    <w:p w14:paraId="6416E20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2.支持数智化技术加速应用。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支持拓展人工智能等数智化技术在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文化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场馆、景区等应用路径，推动数字文化系统集成、普惠共享。聚焦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技术产业化攻关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难题，每年发布“人工智能+文旅”攻关项目开展“揭榜挂帅”，省级统筹资金对验收达标且应用成效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好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的“揭榜”单位给予补助，并</w:t>
      </w:r>
      <w:r>
        <w:rPr>
          <w:rFonts w:hint="default" w:ascii="仿宋_GB2312" w:hAnsi="仿宋_GB2312" w:eastAsia="仿宋_GB2312" w:cs="仿宋_GB2312"/>
          <w:kern w:val="21"/>
          <w:sz w:val="32"/>
          <w:szCs w:val="32"/>
          <w:lang w:val="en-US"/>
        </w:rPr>
        <w:t>对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符合条件的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“人工智能+文旅”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给予资金支持。</w:t>
      </w:r>
      <w:r>
        <w:rPr>
          <w:rFonts w:ascii="楷体_GB2312" w:hAnsi="楷体_GB2312" w:eastAsia="楷体_GB2312" w:cs="楷体_GB2312"/>
          <w:sz w:val="32"/>
          <w:szCs w:val="32"/>
        </w:rPr>
        <w:t>(</w:t>
      </w:r>
      <w:r>
        <w:rPr>
          <w:rFonts w:hint="eastAsia" w:ascii="楷体_GB2312" w:hAnsi="楷体_GB2312" w:eastAsia="楷体_GB2312" w:cs="楷体_GB2312"/>
          <w:sz w:val="32"/>
          <w:szCs w:val="32"/>
        </w:rPr>
        <w:t>牵头单位：省文化和旅游厅，责任</w:t>
      </w:r>
      <w:r>
        <w:rPr>
          <w:rFonts w:ascii="楷体_GB2312" w:hAnsi="楷体_GB2312" w:eastAsia="楷体_GB2312" w:cs="楷体_GB2312"/>
          <w:sz w:val="32"/>
          <w:szCs w:val="32"/>
        </w:rPr>
        <w:t>单位:省委宣传部</w:t>
      </w:r>
      <w:r>
        <w:rPr>
          <w:rFonts w:hint="eastAsia" w:ascii="楷体_GB2312" w:hAnsi="楷体_GB2312" w:eastAsia="楷体_GB2312" w:cs="楷体_GB2312"/>
          <w:sz w:val="32"/>
          <w:szCs w:val="32"/>
        </w:rPr>
        <w:t>、省发展改革委、省科技厅、</w:t>
      </w:r>
      <w:r>
        <w:rPr>
          <w:rFonts w:ascii="楷体_GB2312" w:hAnsi="楷体_GB2312" w:eastAsia="楷体_GB2312" w:cs="楷体_GB2312"/>
          <w:sz w:val="32"/>
          <w:szCs w:val="32"/>
        </w:rPr>
        <w:t>省财政厅)</w:t>
      </w:r>
    </w:p>
    <w:p w14:paraId="5D53B1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3.推动新型文化业态赋能服务业发展。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聚焦文化新业态特征较为明显的行业，支持规模体量大、引领带动强的项目纳入省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现代服务业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重点项目，加快数字化、智慧化科技成果转化应用，鼓励打造虚实融合、多维视听、数字跨界等新场景，省级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统筹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资金对符合条件的项目给予补助。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（牵头单位：省委宣传部、省发展改革委，责任单位：省文化和旅游厅、省广电局、省财政厅）</w:t>
      </w:r>
    </w:p>
    <w:p w14:paraId="5F0CCD3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二、支持优秀齐鲁文化元素传承利用</w:t>
      </w:r>
    </w:p>
    <w:p w14:paraId="7FD95D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4.鼓励齐鲁特色文化资源转化。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支持实施齐鲁文化基因解码利用工程，鼓励各市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加强齐鲁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历史名人和代表性文化资源转化利用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运用AIGC集成性打造特色文旅IP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培育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一批具有齐风鲁韵的沉浸式文旅体验项目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和标志性内容产品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，省级遴选符合条件的项目给予资金支持。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（牵头单位：省文化和旅游厅，责任单位：省委宣传部、省广电局、省财政厅）</w:t>
      </w:r>
    </w:p>
    <w:p w14:paraId="114D31E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" w:hAnsi="仿宋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5.支持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文博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场馆焕发活力。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鼓励具备条件的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文博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场馆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在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基本陈列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外，开展专题特展、馆际联展、流动巡展、数字云展等精品展览和互动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增值服务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，探索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适价有偿观展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和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动态收费机制，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推动文物展陈由静态陈列向互动体验转型，省级遴选符合条件的文博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场馆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焕新案例给予资金支持。</w:t>
      </w:r>
      <w:r>
        <w:rPr>
          <w:rFonts w:hint="eastAsia" w:ascii="仿宋" w:hAnsi="仿宋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牵头单位：</w:t>
      </w:r>
      <w:r>
        <w:rPr>
          <w:rFonts w:hint="eastAsia" w:ascii="仿宋" w:hAnsi="仿宋" w:eastAsia="楷体_GB2312" w:cs="楷体_GB2312"/>
          <w:sz w:val="32"/>
          <w:szCs w:val="32"/>
        </w:rPr>
        <w:t>省文化和旅游厅，责任单位：省财政厅）</w:t>
      </w:r>
    </w:p>
    <w:p w14:paraId="6B4FE61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" w:hAnsi="仿宋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6.支持文创产品开发利用。</w:t>
      </w:r>
      <w:r>
        <w:rPr>
          <w:rFonts w:hint="eastAsia" w:ascii="仿宋_GB2312" w:hAnsi="仿宋_GB2312" w:eastAsia="仿宋_GB2312" w:cs="Times New Roman"/>
          <w:sz w:val="32"/>
          <w:szCs w:val="32"/>
        </w:rPr>
        <w:t>鼓励各级文化文物单位围绕馆藏和展陈加强文创产品开发，加大国有文化场馆文创收益“七三分成”试点改革力度，将符合条件的市县国有文化文物单位纳入试点范围。省级统筹资金，对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符合条件的</w:t>
      </w:r>
      <w:r>
        <w:rPr>
          <w:rFonts w:hint="eastAsia" w:ascii="仿宋_GB2312" w:hAnsi="仿宋_GB2312" w:eastAsia="仿宋_GB2312" w:cs="Times New Roman"/>
          <w:sz w:val="32"/>
          <w:szCs w:val="32"/>
        </w:rPr>
        <w:t>试点场馆给予资金支持，遴选符合条件的爆款文创产品研发主体给予资金支持。</w:t>
      </w:r>
      <w:r>
        <w:rPr>
          <w:rFonts w:hint="eastAsia" w:ascii="仿宋" w:hAnsi="仿宋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牵头单位：</w:t>
      </w:r>
      <w:r>
        <w:rPr>
          <w:rFonts w:hint="eastAsia" w:ascii="仿宋" w:hAnsi="仿宋" w:eastAsia="楷体_GB2312" w:cs="楷体_GB2312"/>
          <w:sz w:val="32"/>
          <w:szCs w:val="32"/>
        </w:rPr>
        <w:t>省文化和旅游厅；责任单位：省人力资源社会保障厅、省财政厅）</w:t>
      </w:r>
    </w:p>
    <w:p w14:paraId="0D9753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" w:hAnsi="仿宋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7.推动文化遗产多维度保护利用。</w:t>
      </w:r>
      <w:r>
        <w:rPr>
          <w:rFonts w:hint="eastAsia" w:ascii="仿宋_GB2312" w:hAnsi="仿宋_GB2312" w:eastAsia="仿宋_GB2312" w:cs="Times New Roman"/>
          <w:sz w:val="32"/>
          <w:szCs w:val="32"/>
        </w:rPr>
        <w:t>鼓励各级文博单位探索文化遗产“数字化保护+产业化利用”融合发展模式，提升文物保护、古籍修复数字化水平。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鼓励各市支持传统非遗技艺传承转化，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建设就业增收型、项目集聚型、产业带动型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非遗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工坊，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打造具有齐鲁文化元素的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国潮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品牌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省级统筹资金，遴选符合条件的文物数字化保护利用和非遗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生活化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保护项目给予资金支持。</w:t>
      </w:r>
      <w:r>
        <w:rPr>
          <w:rFonts w:hint="eastAsia" w:ascii="仿宋" w:hAnsi="仿宋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牵头单位：</w:t>
      </w:r>
      <w:r>
        <w:rPr>
          <w:rFonts w:hint="eastAsia" w:ascii="仿宋" w:hAnsi="仿宋" w:eastAsia="楷体_GB2312" w:cs="楷体_GB2312"/>
          <w:sz w:val="32"/>
          <w:szCs w:val="32"/>
        </w:rPr>
        <w:t>省文化和旅游厅，责任单位：省财政厅）</w:t>
      </w:r>
    </w:p>
    <w:p w14:paraId="5A8B338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三、支持精品内容创作传播</w:t>
      </w:r>
    </w:p>
    <w:p w14:paraId="3E30D7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8.鼓励优秀文艺作品创作生产。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支持实施“齐鲁文艺高峰计划”，省级统筹资金，支持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文艺精品创作传播孵化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符合条件的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好创意、好题材、好本子、好苗子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给予资金支持；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符合条件的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优秀影视剧、舞台剧目、文学作品、网络视听节目等给予资金奖励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。</w:t>
      </w:r>
      <w:r>
        <w:rPr>
          <w:rFonts w:ascii="楷体_GB2312" w:hAnsi="楷体_GB2312" w:eastAsia="楷体_GB2312" w:cs="楷体_GB2312"/>
          <w:sz w:val="32"/>
          <w:szCs w:val="32"/>
        </w:rPr>
        <w:t>(</w:t>
      </w:r>
      <w:r>
        <w:rPr>
          <w:rFonts w:hint="eastAsia" w:ascii="楷体_GB2312" w:hAnsi="楷体_GB2312" w:eastAsia="楷体_GB2312" w:cs="楷体_GB2312"/>
          <w:sz w:val="32"/>
          <w:szCs w:val="32"/>
        </w:rPr>
        <w:t>牵头单位：</w:t>
      </w:r>
      <w:r>
        <w:rPr>
          <w:rFonts w:ascii="楷体_GB2312" w:hAnsi="楷体_GB2312" w:eastAsia="楷体_GB2312" w:cs="楷体_GB2312"/>
          <w:sz w:val="32"/>
          <w:szCs w:val="32"/>
        </w:rPr>
        <w:t>省委宣传部、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省文化和旅游厅、</w:t>
      </w:r>
      <w:r>
        <w:rPr>
          <w:rFonts w:ascii="楷体_GB2312" w:hAnsi="楷体_GB2312" w:eastAsia="楷体_GB2312" w:cs="楷体_GB2312"/>
          <w:sz w:val="32"/>
          <w:szCs w:val="32"/>
        </w:rPr>
        <w:t>省广电局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省文联、省作协</w:t>
      </w:r>
      <w:r>
        <w:rPr>
          <w:rFonts w:hint="eastAsia" w:ascii="楷体_GB2312" w:hAnsi="楷体_GB2312" w:eastAsia="楷体_GB2312" w:cs="楷体_GB2312"/>
          <w:sz w:val="32"/>
          <w:szCs w:val="32"/>
        </w:rPr>
        <w:t>，责任</w:t>
      </w:r>
      <w:r>
        <w:rPr>
          <w:rFonts w:ascii="楷体_GB2312" w:hAnsi="楷体_GB2312" w:eastAsia="楷体_GB2312" w:cs="楷体_GB2312"/>
          <w:sz w:val="32"/>
          <w:szCs w:val="32"/>
        </w:rPr>
        <w:t>单位:省财政厅)</w:t>
      </w:r>
    </w:p>
    <w:p w14:paraId="1302173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9.支持人工智能全链条融入视听内容生产。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鼓励建设AIGC网络视听产业服务平台，推动AI更好赋能微短剧产业发展。省级统筹资金，遴选符合条件的AI赋能视听产业发展项目给予资金支持。</w:t>
      </w:r>
      <w:r>
        <w:rPr>
          <w:rFonts w:ascii="楷体_GB2312" w:hAnsi="楷体_GB2312" w:eastAsia="楷体_GB2312" w:cs="楷体_GB2312"/>
          <w:sz w:val="32"/>
          <w:szCs w:val="32"/>
        </w:rPr>
        <w:t>(</w:t>
      </w:r>
      <w:r>
        <w:rPr>
          <w:rFonts w:hint="eastAsia" w:ascii="楷体_GB2312" w:hAnsi="楷体_GB2312" w:eastAsia="楷体_GB2312" w:cs="楷体_GB2312"/>
          <w:sz w:val="32"/>
          <w:szCs w:val="32"/>
        </w:rPr>
        <w:t>牵头单位：</w:t>
      </w:r>
      <w:r>
        <w:rPr>
          <w:rFonts w:ascii="楷体_GB2312" w:hAnsi="楷体_GB2312" w:eastAsia="楷体_GB2312" w:cs="楷体_GB2312"/>
          <w:sz w:val="32"/>
          <w:szCs w:val="32"/>
        </w:rPr>
        <w:t>省广电局</w:t>
      </w:r>
      <w:r>
        <w:rPr>
          <w:rFonts w:hint="eastAsia" w:ascii="楷体_GB2312" w:hAnsi="楷体_GB2312" w:eastAsia="楷体_GB2312" w:cs="楷体_GB2312"/>
          <w:sz w:val="32"/>
          <w:szCs w:val="32"/>
        </w:rPr>
        <w:t>，责任</w:t>
      </w:r>
      <w:r>
        <w:rPr>
          <w:rFonts w:ascii="楷体_GB2312" w:hAnsi="楷体_GB2312" w:eastAsia="楷体_GB2312" w:cs="楷体_GB2312"/>
          <w:sz w:val="32"/>
          <w:szCs w:val="32"/>
        </w:rPr>
        <w:t>单位:省财政厅)</w:t>
      </w:r>
    </w:p>
    <w:p w14:paraId="7D2731E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" w:hAnsi="仿宋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10.鼓励探索艺术创演新模式。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鼓励各类文艺院团依托景区、街区等探索长期驻场合作模式，推动各门类艺术走出剧场、走近群众，融入研学游、夜经济、新型文化空间等多元场景，有效盘活现有文艺院团资源。省级统筹资金，遴选符合条件的艺术创演拓展项目给予资金支持。</w:t>
      </w:r>
      <w:r>
        <w:rPr>
          <w:rFonts w:hint="eastAsia" w:ascii="仿宋" w:hAnsi="仿宋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牵头单位：</w:t>
      </w:r>
      <w:r>
        <w:rPr>
          <w:rFonts w:hint="eastAsia" w:ascii="仿宋" w:hAnsi="仿宋" w:eastAsia="楷体_GB2312" w:cs="楷体_GB2312"/>
          <w:sz w:val="32"/>
          <w:szCs w:val="32"/>
        </w:rPr>
        <w:t>省文化和旅游厅，责任单位：省财政厅）</w:t>
      </w:r>
    </w:p>
    <w:p w14:paraId="635E68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四、支持提振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文旅体</w:t>
      </w:r>
      <w:r>
        <w:rPr>
          <w:rFonts w:hint="eastAsia" w:ascii="黑体" w:hAnsi="黑体" w:eastAsia="黑体" w:cs="黑体"/>
          <w:sz w:val="32"/>
          <w:szCs w:val="32"/>
        </w:rPr>
        <w:t>综合消费</w:t>
      </w:r>
    </w:p>
    <w:p w14:paraId="6CAFFA6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11.支持文旅消费新场景提升项目。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鼓励各市因地制宜发展演艺经济、节展经济、情绪经济、夜间经济等，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通过场景复刻、NPC互动、科技赋能等强化游客跨时空、沉浸式体验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，推动文旅商展联动，大力培育文旅消费新业态。省级统筹资金，遴选符合条件的文旅消费新场景提升项目给予补助。</w:t>
      </w:r>
      <w:r>
        <w:rPr>
          <w:rFonts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牵头单位：</w:t>
      </w:r>
      <w:r>
        <w:rPr>
          <w:rFonts w:ascii="楷体_GB2312" w:hAnsi="楷体_GB2312" w:eastAsia="楷体_GB2312" w:cs="楷体_GB2312"/>
          <w:sz w:val="32"/>
          <w:szCs w:val="32"/>
        </w:rPr>
        <w:t>省文化和旅游厅</w:t>
      </w:r>
      <w:r>
        <w:rPr>
          <w:rFonts w:hint="eastAsia" w:ascii="楷体_GB2312" w:hAnsi="楷体_GB2312" w:eastAsia="楷体_GB2312" w:cs="楷体_GB2312"/>
          <w:sz w:val="32"/>
          <w:szCs w:val="32"/>
        </w:rPr>
        <w:t>，</w:t>
      </w:r>
      <w:r>
        <w:rPr>
          <w:rFonts w:ascii="楷体_GB2312" w:hAnsi="楷体_GB2312" w:eastAsia="楷体_GB2312" w:cs="楷体_GB2312"/>
          <w:sz w:val="32"/>
          <w:szCs w:val="32"/>
        </w:rPr>
        <w:t>责任单位：</w:t>
      </w:r>
      <w:r>
        <w:rPr>
          <w:rFonts w:hint="eastAsia" w:ascii="楷体_GB2312" w:hAnsi="楷体_GB2312" w:eastAsia="楷体_GB2312" w:cs="楷体_GB2312"/>
          <w:sz w:val="32"/>
          <w:szCs w:val="32"/>
        </w:rPr>
        <w:t>省发展改革委、省商务厅、省财政厅</w:t>
      </w:r>
      <w:r>
        <w:rPr>
          <w:rFonts w:ascii="楷体_GB2312" w:hAnsi="楷体_GB2312" w:eastAsia="楷体_GB2312" w:cs="楷体_GB2312"/>
          <w:sz w:val="32"/>
          <w:szCs w:val="32"/>
        </w:rPr>
        <w:t>）</w:t>
      </w:r>
    </w:p>
    <w:p w14:paraId="3F00F00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12.鼓励发展演出经济。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支持打造“跟着演出游山东”品牌，培育特色化、差异化、长效化精品旅游演艺项目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鼓励更多内容积极向上、文化内涵深厚的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演艺项目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在鲁演出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。省级统筹资金，对创作或引进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符合条件的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精品旅游演艺剧目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的单位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给予资金支持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对符合条件的大型演唱会、音乐节给予资金支持。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（牵头单位：省文化和旅游厅，责任单位:省发展改革委、省财政厅）</w:t>
      </w:r>
    </w:p>
    <w:p w14:paraId="48DB2F0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13.构建票根经济生态圈。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鼓励各市依托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线上服务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平台整合演出、电影、赛事、交通等票根资源，联动拓展文旅消费全链条服务，进一步提升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消费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便利化、数字化体验。省级统筹资金，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t>遴选符合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条件的市县给予资金支持。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（牵头单位：省文化和旅游厅，责任单位:省电影局、省交通运输厅、省商务厅、省体育局、省财政厅）</w:t>
      </w:r>
    </w:p>
    <w:p w14:paraId="211A62A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14.支持旅游住宿业提质扩容。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支持实施“乐宿山东”提升行动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发展“齐鲁乡艺”旅游品牌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，鼓励各市引进国际、国内知名酒店品牌，新建、升级改造星级旅游饭店、文化主题饭店，</w:t>
      </w:r>
      <w:r>
        <w:rPr>
          <w:rFonts w:hint="eastAsia" w:ascii="仿宋_GB2312" w:hAnsi="仿宋_GB2312" w:eastAsia="仿宋_GB2312" w:cs="仿宋_GB2312"/>
          <w:sz w:val="32"/>
          <w:szCs w:val="32"/>
        </w:rPr>
        <w:t>创建乡村酒店、等级旅游民宿、旅游民宿集聚区，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持续</w:t>
      </w:r>
      <w:r>
        <w:rPr>
          <w:rFonts w:hint="eastAsia" w:ascii="仿宋_GB2312" w:hAnsi="仿宋_GB2312" w:eastAsia="仿宋_GB2312" w:cs="仿宋_GB2312"/>
          <w:sz w:val="32"/>
          <w:szCs w:val="32"/>
        </w:rPr>
        <w:t>丰富旅游住宿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新业态产品供给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省级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统筹资金，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对符合条件的</w:t>
      </w:r>
      <w:r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</w:rPr>
        <w:t>旅游住宿业</w:t>
      </w:r>
      <w:r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lang w:val="en-US" w:eastAsia="zh-CN"/>
        </w:rPr>
        <w:t>新业态项目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给予资金支持。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（牵头单位：省文化和旅游厅，责任单位：省财政厅）</w:t>
      </w:r>
    </w:p>
    <w:p w14:paraId="740476E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15.大力拉动电影综合消费。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联合金融机构、重点院线、票务平台等，探索开展特惠、特色观影活动，面向重点时段、重点区域、重点人群发放观影惠民消费券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持续扩大观影群体、带动观影频次、提高电影票房。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省级“电影＋”消费综合试点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省级统筹资金，遴选符合条件的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试点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县(市、区)给予资金支持。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（牵头单位：省电影局，责任单位:</w:t>
      </w: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省商务厅、</w:t>
      </w:r>
      <w:r>
        <w:rPr>
          <w:rFonts w:hint="eastAsia" w:ascii="楷体_GB2312" w:hAnsi="楷体_GB2312" w:eastAsia="楷体_GB2312" w:cs="楷体_GB2312"/>
          <w:sz w:val="32"/>
          <w:szCs w:val="32"/>
        </w:rPr>
        <w:t>省财政厅)</w:t>
      </w:r>
    </w:p>
    <w:p w14:paraId="46856C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16.支持发展赛事经济。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支持鼓励引进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国际性、全国性高水平体育赛事，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建立完善</w:t>
      </w:r>
      <w:r>
        <w:rPr>
          <w:rFonts w:hint="default" w:ascii="仿宋_GB2312" w:hAnsi="仿宋_GB2312" w:eastAsia="仿宋_GB2312" w:cs="仿宋_GB2312"/>
          <w:kern w:val="21"/>
          <w:sz w:val="32"/>
          <w:szCs w:val="32"/>
          <w:lang w:val="en-US"/>
        </w:rPr>
        <w:t>“重大体育赛事项目库”，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塑强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“好运山东”品牌赛事体系，持续开展“体育赛事进景区、进街区、进商圈”“跟着赛事去旅行”等活动，打造“体育+文旅”“体育+商圈”“体育+会展”等融合创新场景。省级统筹资金，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val="en-US" w:eastAsia="zh-CN"/>
        </w:rPr>
        <w:t>对符合条件的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市县给予资金支持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牵头单位：</w:t>
      </w:r>
      <w:r>
        <w:rPr>
          <w:rFonts w:hint="eastAsia" w:ascii="楷体_GB2312" w:hAnsi="楷体_GB2312" w:eastAsia="楷体_GB2312" w:cs="楷体_GB2312"/>
          <w:sz w:val="32"/>
          <w:szCs w:val="32"/>
        </w:rPr>
        <w:t>省体育局，责任单位：省发展改革委、省财政厅）</w:t>
      </w:r>
    </w:p>
    <w:p w14:paraId="1A590AA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五、支持文化产业集聚发展</w:t>
      </w:r>
    </w:p>
    <w:p w14:paraId="677516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17.加力扶持代表性文化产业项目。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围绕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国家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文化产业重点培植方向，建立完善省级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文化产业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重点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储备更新机制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与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国家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层面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文化产业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重点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项目库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深度对接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联动扶持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。省级统筹资金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遴选辐射带动成效明显的代表性文化产业项目给予资金支持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（牵头单位：省委宣传部、省财政厅，责任单位：省文化和旅游厅、省广电局）</w:t>
      </w:r>
    </w:p>
    <w:p w14:paraId="508F469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18.支持重点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影视基地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（园区）改造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提升。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支持省内代表性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影视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基地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（园区）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做强做大，打造全国影视拍摄制作高地。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省级统筹资金，</w:t>
      </w:r>
      <w:r>
        <w:rPr>
          <w:rFonts w:hint="eastAsia" w:ascii="仿宋_GB2312" w:hAnsi="仿宋_GB2312" w:eastAsia="仿宋_GB2312" w:cs="仿宋_GB2312"/>
          <w:sz w:val="32"/>
          <w:szCs w:val="32"/>
        </w:rPr>
        <w:t>遴选符合条件的基地（园区）改造提升项目给予资金支持。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（牵头单位：省电影局、省广电局，责任单位：省财政厅）</w:t>
      </w:r>
    </w:p>
    <w:p w14:paraId="7F50DA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19.优化新型公共文化空间。</w:t>
      </w:r>
      <w:r>
        <w:rPr>
          <w:rFonts w:hint="eastAsia" w:ascii="仿宋_GB2312" w:hAnsi="仿宋_GB2312" w:eastAsia="仿宋_GB2312" w:cs="Times New Roman"/>
          <w:sz w:val="32"/>
          <w:szCs w:val="32"/>
        </w:rPr>
        <w:t>鼓励各市依托城乡社区、广场、公园、街角、老建筑等，因地制宜建设一批特色文化微地标。支持在都市商圈、文化园区等区域，创新打造融合图书阅读、艺术展览、文化沙龙、餐饮休闲等功能的“城市书房”“文化驿站”。省级统筹资金，遴选符合条件的新型文化空间项目给予资金支持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牵头单位：</w:t>
      </w:r>
      <w:r>
        <w:rPr>
          <w:rFonts w:hint="eastAsia" w:ascii="楷体_GB2312" w:hAnsi="楷体_GB2312" w:eastAsia="楷体_GB2312" w:cs="楷体_GB2312"/>
          <w:sz w:val="32"/>
          <w:szCs w:val="32"/>
        </w:rPr>
        <w:t>省文化和旅游厅，责任单位：省财政厅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</w:t>
      </w:r>
    </w:p>
    <w:p w14:paraId="4C77D13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20.财金联动助力产业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发展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大力宣传推介重点文化产业项目，支持发挥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省级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政府投资基金作用，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通过联合设立基金、共同投资等方式，撬动社会资本，引进优质新型文化业态项目落地山东，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省级按规定对符合条件的项目给予股权投资支持。完善“金融+文化”双向赋能合作机制，引导金融服务与文化产业项目（企业）需求精准对接，鼓励金融机构加大对文化科技创新、文旅融合发展等产业项目（企业）信贷支持力度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牵头单位：省委宣传部、</w:t>
      </w:r>
      <w:r>
        <w:rPr>
          <w:rFonts w:hint="eastAsia" w:ascii="楷体_GB2312" w:hAnsi="楷体_GB2312" w:eastAsia="楷体_GB2312" w:cs="楷体_GB2312"/>
          <w:sz w:val="32"/>
          <w:szCs w:val="32"/>
        </w:rPr>
        <w:t>省文化和旅游厅、省广电局、省财政厅，责任单位：省委金融办、中国人民银行山东省分行）</w:t>
      </w:r>
    </w:p>
    <w:p w14:paraId="332FBF4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六、支持提升山东旅游目的地吸引力</w:t>
      </w:r>
    </w:p>
    <w:p w14:paraId="3CB4FE5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优化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实施“引客入鲁”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奖补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优化实施“引客入鲁”补助政策，对符合条件的组织包机、邮轮、游船入境旅游以及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开拓境外市场的</w:t>
      </w:r>
      <w:r>
        <w:rPr>
          <w:rFonts w:hint="eastAsia" w:ascii="仿宋_GB2312" w:hAnsi="仿宋_GB2312" w:eastAsia="仿宋_GB2312" w:cs="仿宋_GB2312"/>
          <w:sz w:val="32"/>
          <w:szCs w:val="32"/>
        </w:rPr>
        <w:t>文旅企业给予资金支持。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牵头单位：</w:t>
      </w:r>
      <w:r>
        <w:rPr>
          <w:rFonts w:hint="eastAsia" w:ascii="楷体_GB2312" w:hAnsi="楷体_GB2312" w:eastAsia="楷体_GB2312" w:cs="楷体_GB2312"/>
          <w:sz w:val="32"/>
          <w:szCs w:val="32"/>
        </w:rPr>
        <w:t>省文化和旅游厅，责任单位：省财政厅）</w:t>
      </w:r>
    </w:p>
    <w:p w14:paraId="2C6D50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kern w:val="2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.塑强研学旅游优势。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鼓励各市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支持中小学结合春秋假集中开展研学实践，引导家长寒暑假期间带领子女参与研学旅游，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省级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统筹资金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对符合条件的研学旅游基地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及承办机构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给予资金支持。</w:t>
      </w: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（牵头单位：省文化和旅游厅，责任单位：省教育厅、省财政厅）</w:t>
      </w:r>
    </w:p>
    <w:p w14:paraId="5BAB2F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.支持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实施“山东交旅1号工程”。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支持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打造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公路、铁路、海上、内河、低空等领域交旅融合项目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省级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统筹资金，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遴选符合条件的新开行“好客山东</w:t>
      </w:r>
      <w:r>
        <w:rPr>
          <w:rFonts w:hint="eastAsia" w:ascii="微软雅黑" w:hAnsi="微软雅黑" w:eastAsia="微软雅黑" w:cs="微软雅黑"/>
          <w:sz w:val="32"/>
          <w:szCs w:val="24"/>
        </w:rPr>
        <w:t>•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齐鲁1号”旅游列车项目给予资金支持，对组织精品自驾游线路纳入“山海1号”“大河1号”品牌且线路维护运营符合条件的市县给予资金支持，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符合条件的新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开航</w:t>
      </w:r>
      <w:r>
        <w:rPr>
          <w:rFonts w:hint="eastAsia" w:ascii="仿宋_GB2312" w:hAnsi="仿宋_GB2312" w:eastAsia="仿宋_GB2312" w:cs="Times New Roman"/>
          <w:sz w:val="32"/>
          <w:szCs w:val="24"/>
        </w:rPr>
        <w:t>“好客山东</w:t>
      </w:r>
      <w:r>
        <w:rPr>
          <w:rFonts w:hint="eastAsia" w:ascii="微软雅黑" w:hAnsi="微软雅黑" w:eastAsia="微软雅黑" w:cs="微软雅黑"/>
          <w:sz w:val="32"/>
          <w:szCs w:val="24"/>
        </w:rPr>
        <w:t>•</w:t>
      </w:r>
      <w:r>
        <w:rPr>
          <w:rFonts w:hint="eastAsia" w:ascii="仿宋_GB2312" w:hAnsi="仿宋_GB2312" w:eastAsia="仿宋_GB2312" w:cs="Times New Roman"/>
          <w:sz w:val="32"/>
          <w:szCs w:val="24"/>
        </w:rPr>
        <w:t>半岛1号”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“好客山东</w:t>
      </w:r>
      <w:r>
        <w:rPr>
          <w:rFonts w:hint="eastAsia" w:ascii="微软雅黑" w:hAnsi="微软雅黑" w:eastAsia="微软雅黑" w:cs="微软雅黑"/>
          <w:sz w:val="32"/>
          <w:szCs w:val="24"/>
        </w:rPr>
        <w:t>•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运河1号”线路经停港口码头给予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资金支持</w:t>
      </w:r>
      <w:r>
        <w:rPr>
          <w:rFonts w:ascii="仿宋_GB2312" w:hAnsi="仿宋_GB2312" w:eastAsia="仿宋_GB2312" w:cs="仿宋_GB2312"/>
          <w:kern w:val="21"/>
          <w:sz w:val="32"/>
          <w:szCs w:val="32"/>
        </w:rPr>
        <w:t>。</w:t>
      </w:r>
      <w:r>
        <w:rPr>
          <w:rFonts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牵头单位：</w:t>
      </w:r>
      <w:r>
        <w:rPr>
          <w:rFonts w:ascii="楷体_GB2312" w:hAnsi="楷体_GB2312" w:eastAsia="楷体_GB2312" w:cs="楷体_GB2312"/>
          <w:sz w:val="32"/>
          <w:szCs w:val="32"/>
        </w:rPr>
        <w:t>省文化和旅游厅</w:t>
      </w:r>
      <w:r>
        <w:rPr>
          <w:rFonts w:hint="eastAsia" w:ascii="楷体_GB2312" w:hAnsi="楷体_GB2312" w:eastAsia="楷体_GB2312" w:cs="楷体_GB2312"/>
          <w:sz w:val="32"/>
          <w:szCs w:val="32"/>
        </w:rPr>
        <w:t>，责任</w:t>
      </w:r>
      <w:r>
        <w:rPr>
          <w:rFonts w:ascii="楷体_GB2312" w:hAnsi="楷体_GB2312" w:eastAsia="楷体_GB2312" w:cs="楷体_GB2312"/>
          <w:sz w:val="32"/>
          <w:szCs w:val="32"/>
        </w:rPr>
        <w:t>单位：省交通运输厅、省财政厅）</w:t>
      </w:r>
    </w:p>
    <w:p w14:paraId="730C54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.实施旅行社经营保费补助。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省级统筹资金，根据全国旅游监管服务平台旅行社责任保险缴纳数据，对符合条件并按规定投保旅行社责任保险的旅行社给予保费补助，补助金额不超过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年度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保费缴纳总额的50%。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（牵头单位：省文化和旅游厅，责任单位：省财政厅）</w:t>
      </w:r>
    </w:p>
    <w:p w14:paraId="0DB1F4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以上政策措施自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公布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之日起施行，有效期至2028年12月31日，相关政策有明确期限的，从其规定。各项政策措施的具体内容和流程要求，由各牵头单位制定实施方案或实施细则，并依法依规贯彻执行。</w:t>
      </w:r>
    </w:p>
    <w:sectPr>
      <w:footerReference r:id="rId3" w:type="default"/>
      <w:pgSz w:w="11906" w:h="16838"/>
      <w:pgMar w:top="2041" w:right="1701" w:bottom="2041" w:left="1701" w:header="851" w:footer="141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30E9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B2552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B2552F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NotDisplayPageBoundaries w:val="1"/>
  <w:bordersDoNotSurroundHeader w:val="1"/>
  <w:bordersDoNotSurroundFooter w:val="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4E"/>
    <w:rsid w:val="000853B2"/>
    <w:rsid w:val="00164EB0"/>
    <w:rsid w:val="00173716"/>
    <w:rsid w:val="00192CAA"/>
    <w:rsid w:val="0022664E"/>
    <w:rsid w:val="002653ED"/>
    <w:rsid w:val="00280DE4"/>
    <w:rsid w:val="002C4C5C"/>
    <w:rsid w:val="00531604"/>
    <w:rsid w:val="005A784B"/>
    <w:rsid w:val="005C5C62"/>
    <w:rsid w:val="006C4D4B"/>
    <w:rsid w:val="007276F1"/>
    <w:rsid w:val="007706F4"/>
    <w:rsid w:val="00775033"/>
    <w:rsid w:val="008D4FDB"/>
    <w:rsid w:val="00AC0728"/>
    <w:rsid w:val="00AD14D5"/>
    <w:rsid w:val="00B529CF"/>
    <w:rsid w:val="00BF10F6"/>
    <w:rsid w:val="00BF6429"/>
    <w:rsid w:val="00C6187C"/>
    <w:rsid w:val="00DA6659"/>
    <w:rsid w:val="00E95893"/>
    <w:rsid w:val="00FF1CC4"/>
    <w:rsid w:val="015F1075"/>
    <w:rsid w:val="018323BF"/>
    <w:rsid w:val="01F34FBF"/>
    <w:rsid w:val="01FB23CB"/>
    <w:rsid w:val="01FB5C4F"/>
    <w:rsid w:val="02976416"/>
    <w:rsid w:val="03441469"/>
    <w:rsid w:val="035A7851"/>
    <w:rsid w:val="03BC7E2E"/>
    <w:rsid w:val="05171657"/>
    <w:rsid w:val="052615FE"/>
    <w:rsid w:val="05556B02"/>
    <w:rsid w:val="05981969"/>
    <w:rsid w:val="05B22E01"/>
    <w:rsid w:val="06322D83"/>
    <w:rsid w:val="069D376A"/>
    <w:rsid w:val="06E75AE2"/>
    <w:rsid w:val="07D713A0"/>
    <w:rsid w:val="07D76969"/>
    <w:rsid w:val="082C3EE4"/>
    <w:rsid w:val="08683CDA"/>
    <w:rsid w:val="086C79CE"/>
    <w:rsid w:val="099D0853"/>
    <w:rsid w:val="0A681221"/>
    <w:rsid w:val="0A6D68DA"/>
    <w:rsid w:val="0B24322F"/>
    <w:rsid w:val="0B920E4C"/>
    <w:rsid w:val="0CCE04DA"/>
    <w:rsid w:val="0CF734C9"/>
    <w:rsid w:val="0D775E8C"/>
    <w:rsid w:val="0EA77F1B"/>
    <w:rsid w:val="0F663BD2"/>
    <w:rsid w:val="113F685C"/>
    <w:rsid w:val="11EC7DD9"/>
    <w:rsid w:val="137B2AD9"/>
    <w:rsid w:val="13AC7939"/>
    <w:rsid w:val="13C82B02"/>
    <w:rsid w:val="14CF0324"/>
    <w:rsid w:val="14FD37C1"/>
    <w:rsid w:val="150E0F18"/>
    <w:rsid w:val="15314652"/>
    <w:rsid w:val="165D633E"/>
    <w:rsid w:val="1675667D"/>
    <w:rsid w:val="16F75359"/>
    <w:rsid w:val="180D751D"/>
    <w:rsid w:val="182A3363"/>
    <w:rsid w:val="1B262138"/>
    <w:rsid w:val="1B4A0C18"/>
    <w:rsid w:val="1B8F0281"/>
    <w:rsid w:val="1CAC4194"/>
    <w:rsid w:val="1D746DE1"/>
    <w:rsid w:val="1DAB6F3A"/>
    <w:rsid w:val="1ECD0317"/>
    <w:rsid w:val="1F0F1254"/>
    <w:rsid w:val="1F20632E"/>
    <w:rsid w:val="1FE738D0"/>
    <w:rsid w:val="1FEA7878"/>
    <w:rsid w:val="20F06D17"/>
    <w:rsid w:val="2195540C"/>
    <w:rsid w:val="2252305A"/>
    <w:rsid w:val="244D419B"/>
    <w:rsid w:val="26983763"/>
    <w:rsid w:val="270A0B9B"/>
    <w:rsid w:val="287D4B80"/>
    <w:rsid w:val="28E571A8"/>
    <w:rsid w:val="29125966"/>
    <w:rsid w:val="2A2B1129"/>
    <w:rsid w:val="2A48576A"/>
    <w:rsid w:val="2B2246E3"/>
    <w:rsid w:val="2B4F631D"/>
    <w:rsid w:val="2B70096A"/>
    <w:rsid w:val="2BE96DD7"/>
    <w:rsid w:val="2D7B5431"/>
    <w:rsid w:val="2D9D6D9A"/>
    <w:rsid w:val="2EC77A57"/>
    <w:rsid w:val="2EDA2FEB"/>
    <w:rsid w:val="2F6A1D9C"/>
    <w:rsid w:val="2FCA6176"/>
    <w:rsid w:val="308B29B1"/>
    <w:rsid w:val="309E01A8"/>
    <w:rsid w:val="30D675AD"/>
    <w:rsid w:val="30EF5883"/>
    <w:rsid w:val="31053F9D"/>
    <w:rsid w:val="31F8678B"/>
    <w:rsid w:val="332207FC"/>
    <w:rsid w:val="33510E6D"/>
    <w:rsid w:val="34C215FB"/>
    <w:rsid w:val="34E92588"/>
    <w:rsid w:val="35905E18"/>
    <w:rsid w:val="35CA7E5C"/>
    <w:rsid w:val="36050A28"/>
    <w:rsid w:val="379E4A4D"/>
    <w:rsid w:val="37B06BEA"/>
    <w:rsid w:val="37EC4B4C"/>
    <w:rsid w:val="38204DC3"/>
    <w:rsid w:val="38C36DAE"/>
    <w:rsid w:val="3947760D"/>
    <w:rsid w:val="3A756774"/>
    <w:rsid w:val="3AA56CE3"/>
    <w:rsid w:val="3AB54FE0"/>
    <w:rsid w:val="3B281A9B"/>
    <w:rsid w:val="3B796366"/>
    <w:rsid w:val="3BA33DE0"/>
    <w:rsid w:val="3BA53DE2"/>
    <w:rsid w:val="3BEF3A63"/>
    <w:rsid w:val="3BFA1DF4"/>
    <w:rsid w:val="3C6224D2"/>
    <w:rsid w:val="3D01431D"/>
    <w:rsid w:val="3DD66692"/>
    <w:rsid w:val="3E507D4A"/>
    <w:rsid w:val="3E7D0D8F"/>
    <w:rsid w:val="3E7E7594"/>
    <w:rsid w:val="3E8A72D5"/>
    <w:rsid w:val="3EAD7B54"/>
    <w:rsid w:val="3EFA6EDC"/>
    <w:rsid w:val="3F7B167E"/>
    <w:rsid w:val="3F867DC6"/>
    <w:rsid w:val="3FCE0E18"/>
    <w:rsid w:val="40740F3A"/>
    <w:rsid w:val="40B15DAC"/>
    <w:rsid w:val="415A2D0A"/>
    <w:rsid w:val="425E756F"/>
    <w:rsid w:val="43E5571E"/>
    <w:rsid w:val="44496B92"/>
    <w:rsid w:val="447E086E"/>
    <w:rsid w:val="44AB66EF"/>
    <w:rsid w:val="45D56984"/>
    <w:rsid w:val="46602F82"/>
    <w:rsid w:val="47067DB5"/>
    <w:rsid w:val="4763732D"/>
    <w:rsid w:val="479B7487"/>
    <w:rsid w:val="48254FD3"/>
    <w:rsid w:val="487E46E3"/>
    <w:rsid w:val="48C61172"/>
    <w:rsid w:val="49DE5AB5"/>
    <w:rsid w:val="4A256B30"/>
    <w:rsid w:val="4A4A12EF"/>
    <w:rsid w:val="4CF277D5"/>
    <w:rsid w:val="4D935553"/>
    <w:rsid w:val="4F1D2E63"/>
    <w:rsid w:val="4FE50FBD"/>
    <w:rsid w:val="50102053"/>
    <w:rsid w:val="50340A87"/>
    <w:rsid w:val="503A081A"/>
    <w:rsid w:val="51933865"/>
    <w:rsid w:val="51BF7740"/>
    <w:rsid w:val="51D95B9E"/>
    <w:rsid w:val="52CE68BE"/>
    <w:rsid w:val="532C2B4D"/>
    <w:rsid w:val="53863C94"/>
    <w:rsid w:val="54103BF9"/>
    <w:rsid w:val="55000F83"/>
    <w:rsid w:val="552C30CC"/>
    <w:rsid w:val="55F60318"/>
    <w:rsid w:val="56CD23A5"/>
    <w:rsid w:val="572A2B91"/>
    <w:rsid w:val="57411985"/>
    <w:rsid w:val="574C52C4"/>
    <w:rsid w:val="578641A4"/>
    <w:rsid w:val="58401A79"/>
    <w:rsid w:val="5941639D"/>
    <w:rsid w:val="5A5C5ECC"/>
    <w:rsid w:val="5A8064F5"/>
    <w:rsid w:val="5B206B2B"/>
    <w:rsid w:val="5B253396"/>
    <w:rsid w:val="5B835D0F"/>
    <w:rsid w:val="5BC709A1"/>
    <w:rsid w:val="5C9C7DBB"/>
    <w:rsid w:val="5E553C3C"/>
    <w:rsid w:val="5E687C70"/>
    <w:rsid w:val="5E9852E2"/>
    <w:rsid w:val="601D3E3E"/>
    <w:rsid w:val="604C4106"/>
    <w:rsid w:val="60EE6715"/>
    <w:rsid w:val="61B02BAE"/>
    <w:rsid w:val="61E66B12"/>
    <w:rsid w:val="62444AC8"/>
    <w:rsid w:val="637F04AA"/>
    <w:rsid w:val="63A81C56"/>
    <w:rsid w:val="649E40AC"/>
    <w:rsid w:val="64D33AB8"/>
    <w:rsid w:val="651B5730"/>
    <w:rsid w:val="651F286B"/>
    <w:rsid w:val="659367C6"/>
    <w:rsid w:val="678D746E"/>
    <w:rsid w:val="67EB660D"/>
    <w:rsid w:val="67F14C93"/>
    <w:rsid w:val="67FF7E90"/>
    <w:rsid w:val="680058A5"/>
    <w:rsid w:val="68096750"/>
    <w:rsid w:val="68355788"/>
    <w:rsid w:val="687B147E"/>
    <w:rsid w:val="68AC32A4"/>
    <w:rsid w:val="68C42A6D"/>
    <w:rsid w:val="690A7FC1"/>
    <w:rsid w:val="696C7A03"/>
    <w:rsid w:val="6AFE21BF"/>
    <w:rsid w:val="6BF1230F"/>
    <w:rsid w:val="6C4459B9"/>
    <w:rsid w:val="6D0417E8"/>
    <w:rsid w:val="6D955854"/>
    <w:rsid w:val="6DE821EC"/>
    <w:rsid w:val="6DEA5A50"/>
    <w:rsid w:val="6FD53DE2"/>
    <w:rsid w:val="70351797"/>
    <w:rsid w:val="7036571F"/>
    <w:rsid w:val="70510EFD"/>
    <w:rsid w:val="716D5171"/>
    <w:rsid w:val="729C1468"/>
    <w:rsid w:val="73E15A01"/>
    <w:rsid w:val="745F3C79"/>
    <w:rsid w:val="75205D45"/>
    <w:rsid w:val="753F6B6A"/>
    <w:rsid w:val="75B74481"/>
    <w:rsid w:val="762C54EE"/>
    <w:rsid w:val="77001DEF"/>
    <w:rsid w:val="77A330AE"/>
    <w:rsid w:val="77BC6EFE"/>
    <w:rsid w:val="78BC2324"/>
    <w:rsid w:val="78DB7E3A"/>
    <w:rsid w:val="78E87E6C"/>
    <w:rsid w:val="7940286A"/>
    <w:rsid w:val="7B2376EF"/>
    <w:rsid w:val="7B2E06D9"/>
    <w:rsid w:val="7B8627B7"/>
    <w:rsid w:val="7C232296"/>
    <w:rsid w:val="7C962567"/>
    <w:rsid w:val="7DFE2E40"/>
    <w:rsid w:val="7F221632"/>
    <w:rsid w:val="7F8E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22" w:semiHidden="0" w:name="Strong"/>
    <w:lsdException w:qFormat="1" w:unhideWhenUsed="0" w:uiPriority="2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6"/>
    <w:qFormat/>
    <w:uiPriority w:val="9"/>
    <w:pPr>
      <w:widowControl w:val="0"/>
      <w:jc w:val="both"/>
      <w:outlineLv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4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5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paragraph" w:customStyle="1" w:styleId="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楷体_GB2312" w:hAnsi="楷体_GB2312" w:eastAsia="楷体_GB2312" w:cs="Times New Roman"/>
      <w:color w:val="000000"/>
      <w:sz w:val="24"/>
      <w:szCs w:val="22"/>
      <w:lang w:val="en-US" w:eastAsia="zh-CN" w:bidi="ar-SA"/>
    </w:rPr>
  </w:style>
  <w:style w:type="paragraph" w:customStyle="1" w:styleId="9">
    <w:name w:val="Char Char Char Char"/>
    <w:basedOn w:val="1"/>
    <w:semiHidden/>
    <w:qFormat/>
    <w:uiPriority w:val="0"/>
    <w:rPr>
      <w:rFonts w:ascii="Times New Roman" w:hAnsi="Times New Roman" w:eastAsia="宋体"/>
      <w:szCs w:val="24"/>
    </w:rPr>
  </w:style>
  <w:style w:type="character" w:customStyle="1" w:styleId="10">
    <w:name w:val="font7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4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1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31"/>
    <w:basedOn w:val="7"/>
    <w:qFormat/>
    <w:uiPriority w:val="0"/>
    <w:rPr>
      <w:rFonts w:ascii="等线" w:hAnsi="等线" w:eastAsia="等线" w:cs="等线"/>
      <w:color w:val="000000"/>
      <w:sz w:val="18"/>
      <w:szCs w:val="18"/>
      <w:u w:val="none"/>
    </w:rPr>
  </w:style>
  <w:style w:type="character" w:customStyle="1" w:styleId="14">
    <w:name w:val="font1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6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标题 1 Char"/>
    <w:basedOn w:val="7"/>
    <w:link w:val="2"/>
    <w:qFormat/>
    <w:uiPriority w:val="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8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9">
    <w:name w:val="批注框文本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20">
    <w:name w:val="Subtle Emphasis"/>
    <w:basedOn w:val="7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</Words>
  <Characters>210</Characters>
  <Lines>1</Lines>
  <Paragraphs>1</Paragraphs>
  <TotalTime>97</TotalTime>
  <ScaleCrop>false</ScaleCrop>
  <LinksUpToDate>false</LinksUpToDate>
  <CharactersWithSpaces>245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2025-07-24T10:24:00Z</dcterms:created>
  <dc:creator>刘思远</dc:creator>
  <cp:lastModifiedBy>刘思远</cp:lastModifiedBy>
  <cp:lastPrinted>2026-10-09T02:21:00Z</cp:lastPrinted>
  <dcterms:modified xsi:type="dcterms:W3CDTF">2026-10-14T02:22:29Z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F84D27285C97457D98BFFA82F6F2A684_12</vt:lpwstr>
  </property>
</Properties>
</file>