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ind w:left="0" w:right="0" w:firstLine="0" w:firstLineChars="0"/>
        <w:outlineLvl w:val="9"/>
        <w:rPr>
          <w:rFonts w:hint="eastAsia" w:ascii="方正小标宋简体" w:hAnsi="方正小标宋简体" w:eastAsia="方正小标宋简体" w:cs="方正小标宋简体"/>
          <w:b w:val="0"/>
          <w:bCs w:val="0"/>
          <w:sz w:val="44"/>
          <w:szCs w:val="44"/>
        </w:rPr>
      </w:pPr>
      <w:bookmarkStart w:id="184" w:name="_GoBack"/>
      <w:bookmarkEnd w:id="184"/>
    </w:p>
    <w:p>
      <w:pPr>
        <w:pStyle w:val="9"/>
        <w:keepNext w:val="0"/>
        <w:keepLines w:val="0"/>
        <w:widowControl/>
        <w:suppressLineNumbers w:val="0"/>
        <w:ind w:left="0" w:right="0" w:firstLine="0" w:firstLineChars="0"/>
        <w:jc w:val="both"/>
        <w:outlineLvl w:val="9"/>
        <w:rPr>
          <w:rFonts w:hint="eastAsia" w:ascii="方正小标宋简体" w:hAnsi="方正小标宋简体" w:eastAsia="方正小标宋简体" w:cs="方正小标宋简体"/>
          <w:b w:val="0"/>
          <w:bCs w:val="0"/>
          <w:sz w:val="44"/>
          <w:szCs w:val="44"/>
        </w:rPr>
      </w:pPr>
    </w:p>
    <w:p>
      <w:pPr>
        <w:rPr>
          <w:rFonts w:hint="eastAsia"/>
        </w:rPr>
      </w:pP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52"/>
          <w:szCs w:val="52"/>
          <w:highlight w:val="none"/>
          <w:lang w:eastAsia="zh-CN"/>
        </w:rPr>
      </w:pPr>
      <w:bookmarkStart w:id="0" w:name="_Toc783724897"/>
      <w:bookmarkStart w:id="1" w:name="_Toc1098007300"/>
      <w:bookmarkStart w:id="2" w:name="_Toc1165501255"/>
      <w:bookmarkStart w:id="3" w:name="_Toc3221"/>
      <w:bookmarkStart w:id="4" w:name="_Toc2027566794"/>
      <w:bookmarkStart w:id="5" w:name="_Toc129681215"/>
      <w:bookmarkStart w:id="6" w:name="_Toc829156644"/>
      <w:bookmarkStart w:id="7" w:name="_Toc230834824"/>
      <w:bookmarkStart w:id="8" w:name="_Toc556"/>
      <w:bookmarkStart w:id="9" w:name="_Toc27627"/>
      <w:bookmarkStart w:id="10" w:name="_Toc5673"/>
      <w:r>
        <w:rPr>
          <w:rFonts w:hint="eastAsia" w:ascii="方正小标宋简体" w:hAnsi="方正小标宋简体" w:eastAsia="方正小标宋简体" w:cs="方正小标宋简体"/>
          <w:b w:val="0"/>
          <w:bCs w:val="0"/>
          <w:sz w:val="52"/>
          <w:szCs w:val="52"/>
        </w:rPr>
        <w:t>2025年度行政事业单位</w:t>
      </w:r>
      <w:bookmarkEnd w:id="0"/>
      <w:bookmarkEnd w:id="1"/>
      <w:bookmarkEnd w:id="2"/>
      <w:bookmarkEnd w:id="3"/>
      <w:bookmarkEnd w:id="4"/>
      <w:bookmarkEnd w:id="5"/>
      <w:bookmarkEnd w:id="6"/>
      <w:bookmarkEnd w:id="7"/>
      <w:bookmarkEnd w:id="8"/>
      <w:bookmarkEnd w:id="9"/>
      <w:bookmarkEnd w:id="10"/>
      <w:bookmarkStart w:id="11" w:name="_Toc7159"/>
      <w:bookmarkStart w:id="12" w:name="_Toc359443807"/>
      <w:bookmarkStart w:id="13" w:name="_Toc1729483336"/>
      <w:bookmarkStart w:id="14" w:name="_Toc16419"/>
      <w:bookmarkStart w:id="15" w:name="_Toc1686126749"/>
      <w:bookmarkStart w:id="16" w:name="_Toc1240554595"/>
      <w:bookmarkStart w:id="17" w:name="_Toc303321118"/>
      <w:bookmarkStart w:id="18" w:name="_Toc16843"/>
      <w:bookmarkStart w:id="19" w:name="_Toc1189723159"/>
      <w:bookmarkStart w:id="20" w:name="_Toc424928057"/>
      <w:bookmarkStart w:id="21" w:name="_Toc8661"/>
      <w:r>
        <w:rPr>
          <w:rFonts w:hint="eastAsia" w:ascii="方正小标宋简体" w:hAnsi="方正小标宋简体" w:eastAsia="方正小标宋简体" w:cs="方正小标宋简体"/>
          <w:b w:val="0"/>
          <w:bCs w:val="0"/>
          <w:sz w:val="52"/>
          <w:szCs w:val="52"/>
          <w:highlight w:val="none"/>
          <w:lang w:eastAsia="zh-CN"/>
        </w:rPr>
        <w:t>内部控制</w:t>
      </w: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52"/>
          <w:szCs w:val="52"/>
          <w:highlight w:val="none"/>
          <w:lang w:eastAsia="zh"/>
        </w:rPr>
        <w:t>报告</w:t>
      </w:r>
      <w:r>
        <w:rPr>
          <w:rFonts w:hint="eastAsia" w:ascii="方正小标宋简体" w:hAnsi="方正小标宋简体" w:eastAsia="方正小标宋简体" w:cs="方正小标宋简体"/>
          <w:b w:val="0"/>
          <w:bCs w:val="0"/>
          <w:sz w:val="52"/>
          <w:szCs w:val="52"/>
          <w:lang w:val="en-US" w:eastAsia="zh-CN"/>
        </w:rPr>
        <w:t>审核</w:t>
      </w:r>
      <w:r>
        <w:rPr>
          <w:rFonts w:hint="eastAsia" w:ascii="方正小标宋简体" w:hAnsi="方正小标宋简体" w:eastAsia="方正小标宋简体" w:cs="方正小标宋简体"/>
          <w:b w:val="0"/>
          <w:bCs w:val="0"/>
          <w:sz w:val="52"/>
          <w:szCs w:val="52"/>
        </w:rPr>
        <w:t>指南</w:t>
      </w:r>
      <w:bookmarkEnd w:id="11"/>
      <w:bookmarkEnd w:id="12"/>
      <w:bookmarkEnd w:id="13"/>
      <w:bookmarkEnd w:id="14"/>
      <w:bookmarkEnd w:id="15"/>
      <w:bookmarkEnd w:id="16"/>
      <w:bookmarkEnd w:id="17"/>
      <w:bookmarkEnd w:id="18"/>
      <w:bookmarkEnd w:id="19"/>
      <w:bookmarkEnd w:id="20"/>
      <w:bookmarkEnd w:id="21"/>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ind w:firstLine="0" w:firstLineChars="0"/>
        <w:jc w:val="center"/>
        <w:rPr>
          <w:rFonts w:hint="eastAsia" w:ascii="方正小标宋简体" w:hAnsi="方正小标宋简体" w:eastAsia="方正小标宋简体" w:cs="方正小标宋简体"/>
          <w:b w:val="0"/>
          <w:bCs w:val="0"/>
          <w:sz w:val="36"/>
          <w:szCs w:val="36"/>
          <w:highlight w:val="none"/>
          <w:lang w:eastAsia="zh"/>
        </w:rPr>
      </w:pPr>
      <w:r>
        <w:rPr>
          <w:rFonts w:hint="eastAsia" w:ascii="方正小标宋简体" w:hAnsi="方正小标宋简体" w:eastAsia="方正小标宋简体" w:cs="方正小标宋简体"/>
          <w:b w:val="0"/>
          <w:bCs w:val="0"/>
          <w:sz w:val="36"/>
          <w:szCs w:val="36"/>
          <w:highlight w:val="none"/>
          <w:lang w:eastAsia="zh"/>
        </w:rPr>
        <w:t>财政部会计司</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val="0"/>
          <w:sz w:val="36"/>
          <w:szCs w:val="36"/>
          <w:highlight w:val="none"/>
          <w:lang w:eastAsia="zh"/>
        </w:rPr>
        <w:t>2026年1月</w:t>
      </w:r>
    </w:p>
    <w:sdt>
      <w:sdtPr>
        <w:rPr>
          <w:rFonts w:hint="eastAsia" w:asciiTheme="minorEastAsia" w:hAnsiTheme="minorEastAsia" w:eastAsiaTheme="minorEastAsia" w:cstheme="minorEastAsia"/>
          <w:b/>
          <w:bCs/>
          <w:kern w:val="2"/>
          <w:sz w:val="32"/>
          <w:szCs w:val="32"/>
          <w:lang w:val="en-US" w:eastAsia="zh-CN" w:bidi="ar-SA"/>
        </w:rPr>
        <w:id w:val="147471760"/>
        <w15:color w:val="DBDBDB"/>
      </w:sdtPr>
      <w:sdtEndPr>
        <w:rPr>
          <w:rFonts w:hint="eastAsia" w:ascii="仿宋_GB2312" w:hAnsi="仿宋_GB2312" w:eastAsia="仿宋_GB2312" w:cs="仿宋_GB2312"/>
          <w:b w:val="0"/>
          <w:bCs w:val="0"/>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_Toc7590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一、单位</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_Toc7590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_Toc30261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_Toc30261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_Toc19573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_Toc19573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_Toc7703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_Toc7703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_Toc3963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_Toc3963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_Toc7714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_Toc7714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_Toc18598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（六）佐证材料的真实性和相关性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_Toc18598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二、部门</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_Toc32570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_Toc32570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_Toc21433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_Toc21433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_Toc22950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_Toc22950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_Toc32720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_Toc32720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_Toc24308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_Toc24308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_Toc8276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w:t>
          </w:r>
          <w:r>
            <w:rPr>
              <w:rFonts w:hint="eastAsia" w:ascii="仿宋_GB2312" w:hAnsi="仿宋_GB2312" w:eastAsia="仿宋_GB2312" w:cs="仿宋_GB2312"/>
              <w:b w:val="0"/>
              <w:bCs w:val="0"/>
              <w:sz w:val="28"/>
              <w:szCs w:val="28"/>
              <w:highlight w:val="none"/>
            </w:rPr>
            <w:t>佐证材料的真实性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_Toc8276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_Toc1213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三、地区汇总</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_Toc1213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_Toc20244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_Toc20244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_Toc30158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_Toc30158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_Toc27409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_Toc27409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_Toc7904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w:t>
          </w:r>
          <w:r>
            <w:rPr>
              <w:rFonts w:hint="eastAsia" w:ascii="仿宋_GB2312" w:hAnsi="仿宋_GB2312" w:eastAsia="仿宋_GB2312" w:cs="仿宋_GB2312"/>
              <w:b w:val="0"/>
              <w:bCs w:val="0"/>
              <w:sz w:val="28"/>
              <w:szCs w:val="28"/>
              <w:highlight w:val="none"/>
              <w:lang w:eastAsia="zh-CN"/>
            </w:rPr>
            <w:t>四</w:t>
          </w:r>
          <w:r>
            <w:rPr>
              <w:rFonts w:hint="eastAsia" w:ascii="仿宋_GB2312" w:hAnsi="仿宋_GB2312" w:eastAsia="仿宋_GB2312" w:cs="仿宋_GB2312"/>
              <w:b w:val="0"/>
              <w:bCs w:val="0"/>
              <w:sz w:val="28"/>
              <w:szCs w:val="28"/>
              <w:highlight w:val="none"/>
              <w:lang w:eastAsia="zh"/>
            </w:rPr>
            <w:t>）佐证材料的</w:t>
          </w:r>
          <w:r>
            <w:rPr>
              <w:rFonts w:hint="eastAsia" w:ascii="仿宋_GB2312" w:hAnsi="仿宋_GB2312" w:eastAsia="仿宋_GB2312" w:cs="仿宋_GB2312"/>
              <w:b w:val="0"/>
              <w:bCs w:val="0"/>
              <w:sz w:val="28"/>
              <w:szCs w:val="28"/>
              <w:highlight w:val="none"/>
            </w:rPr>
            <w:t>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_Toc7904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r>
            <w:rPr>
              <w:rFonts w:hint="eastAsia" w:ascii="仿宋_GB2312" w:hAnsi="仿宋_GB2312" w:eastAsia="仿宋_GB2312" w:cs="仿宋_GB2312"/>
              <w:b w:val="0"/>
              <w:bCs w:val="0"/>
              <w:sz w:val="28"/>
              <w:szCs w:val="28"/>
              <w:highlight w:val="none"/>
            </w:rPr>
            <w:fldChar w:fldCharType="end"/>
          </w:r>
        </w:p>
      </w:sdtContent>
    </w:sdt>
    <w:p>
      <w:pPr>
        <w:pStyle w:val="2"/>
        <w:pageBreakBefore w:val="0"/>
        <w:numPr>
          <w:ilvl w:val="0"/>
          <w:numId w:val="0"/>
        </w:numPr>
        <w:kinsoku/>
        <w:wordWrap/>
        <w:overflowPunct/>
        <w:topLinePunct w:val="0"/>
        <w:bidi w:val="0"/>
        <w:adjustRightInd/>
        <w:snapToGrid/>
        <w:spacing w:beforeLines="0" w:afterLines="0" w:line="588" w:lineRule="exact"/>
        <w:ind w:left="0" w:leftChars="0" w:firstLine="880" w:firstLineChars="200"/>
        <w:jc w:val="both"/>
        <w:rPr>
          <w:rFonts w:hint="eastAsia" w:ascii="黑体" w:hAnsi="黑体" w:eastAsia="黑体" w:cs="黑体"/>
          <w:b w:val="0"/>
          <w:bCs w:val="0"/>
          <w:highlight w:val="none"/>
          <w:lang w:eastAsia="zh"/>
        </w:rPr>
      </w:pPr>
      <w:r>
        <w:rPr>
          <w:rFonts w:hint="eastAsia" w:ascii="方正小标宋简体" w:hAnsi="方正小标宋简体" w:eastAsia="方正小标宋简体" w:cs="方正小标宋简体"/>
          <w:b w:val="0"/>
          <w:bCs w:val="0"/>
          <w:sz w:val="44"/>
          <w:szCs w:val="44"/>
        </w:rPr>
        <w:br w:type="page"/>
      </w:r>
      <w:bookmarkStart w:id="22" w:name="_Toc1731116320"/>
      <w:bookmarkStart w:id="23" w:name="_Toc705858151"/>
      <w:bookmarkStart w:id="24" w:name="_Toc7590"/>
      <w:bookmarkStart w:id="25" w:name="_Toc24816"/>
      <w:bookmarkStart w:id="26" w:name="_Toc1733968617"/>
      <w:bookmarkStart w:id="27" w:name="_Toc19004"/>
      <w:bookmarkStart w:id="28" w:name="_Toc32391"/>
      <w:r>
        <w:rPr>
          <w:rFonts w:hint="eastAsia" w:ascii="黑体" w:hAnsi="黑体" w:eastAsia="黑体" w:cs="黑体"/>
          <w:b w:val="0"/>
          <w:bCs w:val="0"/>
          <w:highlight w:val="none"/>
          <w:lang w:eastAsia="zh"/>
        </w:rPr>
        <w:t>一、单位</w:t>
      </w:r>
      <w:r>
        <w:rPr>
          <w:rFonts w:hint="eastAsia" w:ascii="黑体" w:hAnsi="黑体" w:eastAsia="黑体" w:cs="黑体"/>
          <w:b w:val="0"/>
          <w:bCs w:val="0"/>
          <w:highlight w:val="none"/>
        </w:rPr>
        <w:t>内部控制报告</w:t>
      </w:r>
      <w:bookmarkEnd w:id="22"/>
      <w:bookmarkEnd w:id="23"/>
      <w:r>
        <w:rPr>
          <w:rFonts w:hint="eastAsia" w:ascii="黑体" w:hAnsi="黑体" w:eastAsia="黑体" w:cs="黑体"/>
          <w:b w:val="0"/>
          <w:bCs w:val="0"/>
          <w:highlight w:val="none"/>
          <w:lang w:eastAsia="zh"/>
        </w:rPr>
        <w:t>审核</w:t>
      </w:r>
      <w:bookmarkEnd w:id="24"/>
      <w:bookmarkEnd w:id="25"/>
      <w:bookmarkEnd w:id="26"/>
      <w:bookmarkEnd w:id="27"/>
      <w:bookmarkEnd w:id="28"/>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29" w:name="_Toc30261"/>
      <w:bookmarkStart w:id="30" w:name="_Toc1591939834"/>
      <w:bookmarkStart w:id="31" w:name="_Toc1998336364"/>
      <w:bookmarkStart w:id="32" w:name="_Toc27868"/>
      <w:bookmarkStart w:id="33" w:name="_Toc1709518086"/>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29"/>
      <w:bookmarkEnd w:id="30"/>
      <w:bookmarkEnd w:id="31"/>
      <w:bookmarkEnd w:id="32"/>
      <w:bookmarkEnd w:id="3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填列完整，正式行文报送时经单位负责人签字或盖章，并加盖公章。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34" w:name="_Toc416632530"/>
      <w:bookmarkStart w:id="35" w:name="_Toc1149435670"/>
      <w:bookmarkStart w:id="36" w:name="_Toc19573"/>
      <w:bookmarkStart w:id="37" w:name="_Toc118715324"/>
      <w:bookmarkStart w:id="38" w:name="_Toc18929"/>
      <w:r>
        <w:rPr>
          <w:rFonts w:hint="eastAsia" w:ascii="楷体_GB2312" w:hAnsi="楷体_GB2312" w:eastAsia="楷体_GB2312" w:cs="楷体_GB2312"/>
          <w:highlight w:val="none"/>
          <w:lang w:eastAsia="zh"/>
        </w:rPr>
        <w:t>（二）基础数据的规范性</w:t>
      </w:r>
      <w:bookmarkEnd w:id="34"/>
      <w:bookmarkEnd w:id="35"/>
      <w:bookmarkEnd w:id="36"/>
      <w:bookmarkEnd w:id="37"/>
      <w:bookmarkEnd w:id="38"/>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588" w:lineRule="exact"/>
        <w:ind w:left="0" w:leftChars="0" w:firstLine="640" w:firstLineChars="200"/>
        <w:jc w:val="both"/>
        <w:textAlignment w:val="auto"/>
        <w:outlineLvl w:val="2"/>
        <w:rPr>
          <w:rFonts w:hint="default" w:ascii="仿宋_GB2312" w:hAnsi="仿宋_GB2312" w:eastAsia="仿宋_GB2312" w:cs="仿宋_GB2312"/>
          <w:b w:val="0"/>
          <w:bCs w:val="0"/>
          <w:szCs w:val="32"/>
          <w:highlight w:val="none"/>
          <w:lang w:eastAsia="zh"/>
        </w:rPr>
      </w:pPr>
      <w:bookmarkStart w:id="39" w:name="_Toc636415206"/>
      <w:bookmarkStart w:id="40" w:name="_Toc3857773"/>
      <w:bookmarkStart w:id="41" w:name="_Toc1254969337"/>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39"/>
      <w:bookmarkEnd w:id="40"/>
      <w:bookmarkEnd w:id="41"/>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default" w:ascii="仿宋_GB2312" w:hAnsi="仿宋_GB2312" w:eastAsia="仿宋_GB2312" w:cs="仿宋_GB2312"/>
          <w:sz w:val="32"/>
          <w:szCs w:val="32"/>
          <w:highlight w:val="none"/>
        </w:rPr>
        <w:t>软件中内置了审核公式，单位填报完成后</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lang w:eastAsia="zh"/>
        </w:rPr>
        <w:t>【审</w:t>
      </w:r>
      <w:r>
        <w:rPr>
          <w:rFonts w:hint="eastAsia" w:ascii="仿宋_GB2312" w:hAnsi="仿宋_GB2312" w:eastAsia="仿宋_GB2312" w:cs="仿宋_GB2312"/>
          <w:sz w:val="32"/>
          <w:szCs w:val="32"/>
          <w:highlight w:val="none"/>
          <w:lang w:val="en-US" w:eastAsia="zh-CN"/>
        </w:rPr>
        <w:t>核</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操作</w:t>
      </w:r>
      <w:r>
        <w:rPr>
          <w:rFonts w:hint="default"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42" w:name="_Toc224503534"/>
      <w:bookmarkStart w:id="43" w:name="_Toc1177631953"/>
      <w:bookmarkStart w:id="44" w:name="_Toc519486452"/>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单位基本情况数据准确</w:t>
      </w:r>
      <w:bookmarkEnd w:id="42"/>
      <w:bookmarkEnd w:id="43"/>
      <w:bookmarkEnd w:id="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单位预算级次填列</w:t>
      </w:r>
      <w:r>
        <w:rPr>
          <w:rFonts w:hint="eastAsia" w:ascii="仿宋_GB2312" w:hAnsi="仿宋_GB2312" w:eastAsia="仿宋_GB2312" w:cs="仿宋_GB2312"/>
          <w:sz w:val="32"/>
          <w:szCs w:val="32"/>
          <w:highlight w:val="none"/>
          <w:lang w:val="en-US" w:eastAsia="zh-CN"/>
        </w:rPr>
        <w:t>部门和</w:t>
      </w:r>
      <w:r>
        <w:rPr>
          <w:rFonts w:hint="default" w:ascii="仿宋_GB2312" w:hAnsi="仿宋_GB2312" w:eastAsia="仿宋_GB2312" w:cs="仿宋_GB2312"/>
          <w:sz w:val="32"/>
          <w:szCs w:val="32"/>
          <w:highlight w:val="none"/>
        </w:rPr>
        <w:t>单位按照预算管理权限和经费领拨关系所确定的预算级次，与部门决算封面上单位预算级次一致。非预算单位此项填报“无”。</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预算级次按单位预算分级管理的级次选择填列。非预算单位填报“90.非预算单位”。</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支出功能分类填列部门决算《支出决算表》（财决04表）中涉及金额最多的支出功能分类科目。</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年末在职人数填列在政府编制管理部门核定的编制内、由单位人事部门管理的实有在职人数，与部门决算《年末在职实有人员表》（财决附01表）第2栏合计数一致，即“编制内实有人员”合计数。</w:t>
      </w:r>
    </w:p>
    <w:p>
      <w:pPr>
        <w:pageBreakBefore w:val="0"/>
        <w:kinsoku/>
        <w:wordWrap/>
        <w:overflowPunct/>
        <w:topLinePunct w:val="0"/>
        <w:autoSpaceDN/>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财政区</w:t>
      </w:r>
      <w:r>
        <w:rPr>
          <w:rFonts w:hint="eastAsia" w:ascii="仿宋_GB2312" w:hAnsi="仿宋_GB2312" w:eastAsia="仿宋_GB2312" w:cs="仿宋_GB2312"/>
          <w:sz w:val="32"/>
          <w:szCs w:val="32"/>
          <w:highlight w:val="none"/>
          <w:lang w:eastAsia="zh-CN"/>
        </w:rPr>
        <w:t>划是</w:t>
      </w:r>
      <w:r>
        <w:rPr>
          <w:rFonts w:hint="eastAsia" w:ascii="仿宋_GB2312" w:hAnsi="仿宋_GB2312" w:eastAsia="仿宋_GB2312" w:cs="仿宋_GB2312"/>
          <w:sz w:val="32"/>
          <w:szCs w:val="32"/>
          <w:highlight w:val="none"/>
          <w:lang w:eastAsia="zh"/>
        </w:rPr>
        <w:t>以行政区划为基础，结合政府预算分级管理情况而划分的区域。</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部门标识码根据国家标准《中央党政机关、人民团体及其他机构名称代码》（GB/T 4657-2021）填列。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所在地区以6位代码表示，根据国家标准《中华人民共和国行政区划代码》（GB/T 2260-2007）填列。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单位财政预算代码即预算管理一体化系统中的单位代码。非预算单位此项不需填报。</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45" w:name="_Toc7703"/>
      <w:bookmarkStart w:id="46" w:name="_Toc918033228"/>
      <w:bookmarkStart w:id="47" w:name="_Toc88560244"/>
      <w:bookmarkStart w:id="48" w:name="_Toc937316166"/>
      <w:bookmarkStart w:id="49" w:name="_Toc14696"/>
      <w:r>
        <w:rPr>
          <w:rFonts w:hint="eastAsia" w:ascii="楷体_GB2312" w:hAnsi="楷体_GB2312" w:eastAsia="楷体_GB2312" w:cs="楷体_GB2312"/>
          <w:b w:val="0"/>
          <w:bCs w:val="0"/>
          <w:highlight w:val="none"/>
          <w:lang w:eastAsia="zh"/>
        </w:rPr>
        <w:t>（三）内部控制报告文本规范性</w:t>
      </w:r>
      <w:bookmarkEnd w:id="45"/>
      <w:bookmarkEnd w:id="46"/>
      <w:bookmarkEnd w:id="47"/>
      <w:bookmarkEnd w:id="48"/>
      <w:bookmarkEnd w:id="49"/>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50" w:name="_Toc855027388"/>
      <w:bookmarkStart w:id="51" w:name="_Toc1170163330"/>
      <w:bookmarkStart w:id="52" w:name="_Toc1202093135"/>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单位内部控制工作的开展情况</w:t>
      </w:r>
      <w:bookmarkEnd w:id="50"/>
      <w:bookmarkEnd w:id="51"/>
      <w:bookmarkEnd w:id="52"/>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3" w:name="_Toc435780318"/>
      <w:bookmarkStart w:id="54" w:name="_Toc1735754388"/>
      <w:bookmarkStart w:id="55" w:name="_Toc1323551247"/>
      <w:bookmarkStart w:id="56" w:name="_Toc371279163"/>
      <w:bookmarkStart w:id="57" w:name="_Toc790837882"/>
      <w:r>
        <w:rPr>
          <w:rFonts w:hint="eastAsia" w:ascii="仿宋_GB2312" w:hAnsi="仿宋_GB2312" w:eastAsia="仿宋_GB2312" w:cs="仿宋_GB2312"/>
          <w:b w:val="0"/>
          <w:bCs w:val="0"/>
          <w:sz w:val="32"/>
          <w:szCs w:val="32"/>
          <w:highlight w:val="none"/>
          <w:lang w:val="en-US" w:eastAsia="zh"/>
        </w:rPr>
        <w:t>（1）</w:t>
      </w:r>
      <w:r>
        <w:rPr>
          <w:rFonts w:hint="default" w:ascii="仿宋_GB2312" w:hAnsi="仿宋_GB2312" w:eastAsia="仿宋_GB2312" w:cs="仿宋_GB2312"/>
          <w:b w:val="0"/>
          <w:bCs w:val="0"/>
          <w:sz w:val="32"/>
          <w:szCs w:val="32"/>
          <w:highlight w:val="none"/>
          <w:lang w:val="en-US" w:eastAsia="zh-CN"/>
        </w:rPr>
        <w:t>内部控制机构设置与2025年度运行情况</w:t>
      </w:r>
      <w:bookmarkEnd w:id="53"/>
      <w:bookmarkEnd w:id="54"/>
      <w:bookmarkEnd w:id="55"/>
      <w:bookmarkEnd w:id="56"/>
      <w:bookmarkEnd w:id="5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（岗位）、</w:t>
      </w:r>
      <w:r>
        <w:rPr>
          <w:rFonts w:hint="default"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val="en-US" w:eastAsia="zh"/>
        </w:rPr>
        <w:t>与监督牵头</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
        </w:rPr>
        <w:t>（岗位）</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lang w:val="en-US" w:eastAsia="zh"/>
        </w:rPr>
        <w:t>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描述，以及</w:t>
      </w:r>
      <w:r>
        <w:rPr>
          <w:rFonts w:hint="default" w:ascii="仿宋_GB2312" w:hAnsi="仿宋_GB2312" w:eastAsia="仿宋_GB2312" w:cs="仿宋_GB2312"/>
          <w:sz w:val="32"/>
          <w:szCs w:val="32"/>
          <w:highlight w:val="none"/>
          <w:lang w:val="en-US" w:eastAsia="zh-CN"/>
        </w:rPr>
        <w:t>2025年度内部控制领导机构会议</w:t>
      </w:r>
      <w:r>
        <w:rPr>
          <w:rFonts w:hint="eastAsia" w:ascii="仿宋_GB2312" w:hAnsi="仿宋_GB2312" w:eastAsia="仿宋_GB2312" w:cs="仿宋_GB2312"/>
          <w:sz w:val="32"/>
          <w:szCs w:val="32"/>
          <w:highlight w:val="none"/>
          <w:lang w:val="en-US" w:eastAsia="zh"/>
        </w:rPr>
        <w:t>召开次数及内部控制相关培训开展次数</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《关于进一步加强高等学校内部控制建设的指导意见》（财会〔2024〕16号）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，重点审核高等学校是否明确学校校长是内部控制建设和实施工作的首要责任人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内部控制相关重要议题是否提请党委决策审议。</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《关于进一步加强公立医院内部控制建设的指导意见》（财会〔2023〕31号）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，重点审核公立医院是否明确</w:t>
      </w:r>
      <w:r>
        <w:rPr>
          <w:rFonts w:hint="eastAsia" w:ascii="仿宋_GB2312" w:hAnsi="仿宋_GB2312" w:eastAsia="仿宋_GB2312" w:cs="仿宋_GB2312"/>
          <w:sz w:val="32"/>
          <w:szCs w:val="32"/>
          <w:highlight w:val="none"/>
          <w:lang w:val="en-US" w:eastAsia="zh-CN"/>
        </w:rPr>
        <w:t>其</w:t>
      </w:r>
      <w:r>
        <w:rPr>
          <w:rFonts w:hint="default" w:ascii="仿宋_GB2312" w:hAnsi="仿宋_GB2312" w:eastAsia="仿宋_GB2312" w:cs="仿宋_GB2312"/>
          <w:sz w:val="32"/>
          <w:szCs w:val="32"/>
          <w:highlight w:val="none"/>
          <w:lang w:val="en-US" w:eastAsia="zh-CN"/>
        </w:rPr>
        <w:t>党委主要负责人是整体内部控制建设与实施的第一责任人。</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《关于进一步加强科学事业单位内部控制建设的指导意见》（财会〔2025〕30号）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，重点审核科学事业单位是否明确</w:t>
      </w:r>
      <w:r>
        <w:rPr>
          <w:rFonts w:hint="eastAsia" w:ascii="仿宋_GB2312" w:hAnsi="仿宋_GB2312" w:eastAsia="仿宋_GB2312" w:cs="仿宋_GB2312"/>
          <w:sz w:val="32"/>
          <w:szCs w:val="32"/>
          <w:highlight w:val="none"/>
          <w:lang w:val="en-US" w:eastAsia="zh-CN"/>
        </w:rPr>
        <w:t>其单位</w:t>
      </w:r>
      <w:r>
        <w:rPr>
          <w:rFonts w:hint="default" w:ascii="仿宋_GB2312" w:hAnsi="仿宋_GB2312" w:eastAsia="仿宋_GB2312" w:cs="仿宋_GB2312"/>
          <w:sz w:val="32"/>
          <w:szCs w:val="32"/>
          <w:highlight w:val="none"/>
          <w:lang w:val="en-US" w:eastAsia="zh-CN"/>
        </w:rPr>
        <w:t>主要负责人是内部控制建设和实施工作的首要责任人，内部控制相关重要议题是否提请党组织决策审议。</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8" w:name="_Toc788607212"/>
      <w:bookmarkStart w:id="59" w:name="_Toc2072897079"/>
      <w:bookmarkStart w:id="60" w:name="_Toc192508298"/>
      <w:bookmarkStart w:id="61" w:name="_Toc1883525807"/>
      <w:bookmarkStart w:id="62" w:name="_Toc111172216"/>
      <w:r>
        <w:rPr>
          <w:rFonts w:hint="eastAsia" w:ascii="仿宋_GB2312" w:hAnsi="仿宋_GB2312" w:eastAsia="仿宋_GB2312" w:cs="仿宋_GB2312"/>
          <w:b w:val="0"/>
          <w:bCs w:val="0"/>
          <w:sz w:val="32"/>
          <w:szCs w:val="32"/>
          <w:highlight w:val="none"/>
          <w:lang w:val="en-US" w:eastAsia="zh"/>
        </w:rPr>
        <w:t>（2）2025年度内部控制风险评估工作情况</w:t>
      </w:r>
      <w:bookmarkEnd w:id="58"/>
      <w:bookmarkEnd w:id="59"/>
      <w:bookmarkEnd w:id="60"/>
      <w:bookmarkEnd w:id="61"/>
      <w:bookmarkEnd w:id="62"/>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根据单位2025年度</w:t>
      </w:r>
      <w:r>
        <w:rPr>
          <w:rFonts w:hint="default" w:ascii="仿宋_GB2312" w:hAnsi="仿宋_GB2312" w:eastAsia="仿宋_GB2312" w:cs="仿宋_GB2312"/>
          <w:sz w:val="32"/>
          <w:szCs w:val="32"/>
          <w:highlight w:val="none"/>
          <w:lang w:eastAsia="zh-CN"/>
        </w:rPr>
        <w:t>开展风险评估工作所形成的</w:t>
      </w:r>
      <w:r>
        <w:rPr>
          <w:rFonts w:hint="default" w:ascii="仿宋_GB2312" w:hAnsi="仿宋_GB2312" w:eastAsia="仿宋_GB2312" w:cs="仿宋_GB2312"/>
          <w:sz w:val="32"/>
          <w:szCs w:val="32"/>
          <w:highlight w:val="none"/>
        </w:rPr>
        <w:t>风险评估报告</w:t>
      </w:r>
      <w:r>
        <w:rPr>
          <w:rFonts w:hint="default" w:ascii="仿宋_GB2312" w:hAnsi="仿宋_GB2312" w:eastAsia="仿宋_GB2312" w:cs="仿宋_GB2312"/>
          <w:sz w:val="32"/>
          <w:szCs w:val="32"/>
          <w:highlight w:val="none"/>
          <w:lang w:eastAsia="zh-CN"/>
        </w:rPr>
        <w:t>等相关材料</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重点审核填报</w:t>
      </w:r>
      <w:r>
        <w:rPr>
          <w:rFonts w:hint="default" w:ascii="仿宋_GB2312" w:hAnsi="仿宋_GB2312" w:eastAsia="仿宋_GB2312" w:cs="仿宋_GB2312"/>
          <w:sz w:val="32"/>
          <w:szCs w:val="32"/>
          <w:highlight w:val="none"/>
          <w:lang w:eastAsia="zh-CN"/>
        </w:rPr>
        <w:t>的风险评估</w:t>
      </w:r>
      <w:r>
        <w:rPr>
          <w:rFonts w:hint="eastAsia" w:ascii="仿宋_GB2312" w:hAnsi="仿宋_GB2312" w:eastAsia="仿宋_GB2312" w:cs="仿宋_GB2312"/>
          <w:sz w:val="32"/>
          <w:szCs w:val="32"/>
          <w:highlight w:val="none"/>
          <w:lang w:eastAsia="zh"/>
        </w:rPr>
        <w:t>开展</w:t>
      </w:r>
      <w:r>
        <w:rPr>
          <w:rFonts w:hint="default" w:ascii="仿宋_GB2312" w:hAnsi="仿宋_GB2312" w:eastAsia="仿宋_GB2312" w:cs="仿宋_GB2312"/>
          <w:sz w:val="32"/>
          <w:szCs w:val="32"/>
          <w:highlight w:val="none"/>
          <w:lang w:eastAsia="zh-CN"/>
        </w:rPr>
        <w:t>情况是否与实际工作一致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CN"/>
        </w:rPr>
        <w:t>内部控制风险评估覆盖情况</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包含单位层面</w:t>
      </w:r>
      <w:r>
        <w:rPr>
          <w:rFonts w:hint="eastAsia" w:ascii="仿宋_GB2312" w:hAnsi="仿宋_GB2312" w:eastAsia="仿宋_GB2312" w:cs="仿宋_GB2312"/>
          <w:sz w:val="32"/>
          <w:szCs w:val="32"/>
          <w:highlight w:val="none"/>
          <w:lang w:eastAsia="zh"/>
        </w:rPr>
        <w:t>与</w:t>
      </w:r>
      <w:r>
        <w:rPr>
          <w:rFonts w:hint="default" w:ascii="仿宋_GB2312" w:hAnsi="仿宋_GB2312" w:eastAsia="仿宋_GB2312" w:cs="仿宋_GB2312"/>
          <w:sz w:val="32"/>
          <w:szCs w:val="32"/>
          <w:highlight w:val="none"/>
          <w:lang w:eastAsia="zh-CN"/>
        </w:rPr>
        <w:t>业务层面。</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63" w:name="_Toc801866569"/>
      <w:bookmarkStart w:id="64" w:name="_Toc15925941"/>
      <w:bookmarkStart w:id="65" w:name="_Toc1443479454"/>
      <w:bookmarkStart w:id="66" w:name="_Toc226963587"/>
      <w:bookmarkStart w:id="67" w:name="_Toc1588526162"/>
      <w:r>
        <w:rPr>
          <w:rFonts w:hint="eastAsia" w:ascii="仿宋_GB2312" w:hAnsi="仿宋_GB2312" w:eastAsia="仿宋_GB2312" w:cs="仿宋_GB2312"/>
          <w:b w:val="0"/>
          <w:bCs w:val="0"/>
          <w:sz w:val="32"/>
          <w:szCs w:val="32"/>
          <w:highlight w:val="none"/>
          <w:lang w:val="en-US" w:eastAsia="zh"/>
        </w:rPr>
        <w:t>（3）</w:t>
      </w:r>
      <w:r>
        <w:rPr>
          <w:rFonts w:hint="default" w:ascii="仿宋_GB2312" w:hAnsi="仿宋_GB2312" w:eastAsia="仿宋_GB2312" w:cs="仿宋_GB2312"/>
          <w:b w:val="0"/>
          <w:bCs w:val="0"/>
          <w:sz w:val="32"/>
          <w:szCs w:val="32"/>
          <w:highlight w:val="none"/>
          <w:lang w:val="en-US" w:eastAsia="zh-CN"/>
        </w:rPr>
        <w:t>内部控制制度建设、年度更新及实施情况</w:t>
      </w:r>
      <w:bookmarkEnd w:id="63"/>
      <w:bookmarkEnd w:id="64"/>
      <w:bookmarkEnd w:id="65"/>
      <w:bookmarkEnd w:id="66"/>
      <w:bookmarkEnd w:id="6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vertAlign w:val="baseline"/>
          <w:lang w:val="en-US"/>
        </w:rPr>
      </w:pPr>
      <w:r>
        <w:rPr>
          <w:rFonts w:hint="eastAsia" w:ascii="仿宋_GB2312" w:hAnsi="仿宋_GB2312" w:eastAsia="仿宋_GB2312" w:cs="仿宋_GB2312"/>
          <w:kern w:val="2"/>
          <w:sz w:val="32"/>
          <w:szCs w:val="32"/>
          <w:highlight w:val="none"/>
        </w:rPr>
        <w:t>根据单位上传的相关制度材料，</w:t>
      </w:r>
      <w:r>
        <w:rPr>
          <w:rFonts w:hint="eastAsia" w:ascii="仿宋_GB2312" w:hAnsi="仿宋_GB2312" w:eastAsia="仿宋_GB2312" w:cs="仿宋_GB2312"/>
          <w:kern w:val="2"/>
          <w:sz w:val="32"/>
          <w:szCs w:val="32"/>
          <w:highlight w:val="none"/>
          <w:lang w:eastAsia="zh"/>
        </w:rPr>
        <w:t>审核</w:t>
      </w:r>
      <w:r>
        <w:rPr>
          <w:rFonts w:hint="eastAsia" w:ascii="仿宋_GB2312" w:hAnsi="仿宋_GB2312" w:eastAsia="仿宋_GB2312" w:cs="仿宋_GB2312"/>
          <w:kern w:val="2"/>
          <w:sz w:val="32"/>
          <w:szCs w:val="32"/>
          <w:highlight w:val="none"/>
        </w:rPr>
        <w:t>所填报的内部控制制度的建设与年度更新覆盖</w:t>
      </w:r>
      <w:r>
        <w:rPr>
          <w:rFonts w:hint="eastAsia" w:ascii="仿宋_GB2312" w:hAnsi="仿宋_GB2312" w:eastAsia="仿宋_GB2312" w:cs="仿宋_GB2312"/>
          <w:kern w:val="2"/>
          <w:sz w:val="32"/>
          <w:szCs w:val="32"/>
          <w:highlight w:val="none"/>
          <w:lang w:eastAsia="zh"/>
        </w:rPr>
        <w:t>情况</w:t>
      </w:r>
      <w:r>
        <w:rPr>
          <w:rFonts w:hint="eastAsia" w:ascii="仿宋_GB2312" w:hAnsi="仿宋_GB2312" w:eastAsia="仿宋_GB2312" w:cs="仿宋_GB2312"/>
          <w:kern w:val="2"/>
          <w:sz w:val="32"/>
          <w:szCs w:val="32"/>
          <w:highlight w:val="none"/>
        </w:rPr>
        <w:t>是否与实际工作一致；文字描述应包含制度的实施范围、方式方法、实施效果等内容。</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vertAlign w:val="baseline"/>
          <w:lang w:val="en-US"/>
        </w:rPr>
      </w:pPr>
      <w:bookmarkStart w:id="68" w:name="_Toc59470293"/>
      <w:bookmarkStart w:id="69" w:name="_Toc208876937"/>
      <w:bookmarkStart w:id="70" w:name="_Toc1965107236"/>
      <w:bookmarkStart w:id="71" w:name="_Toc1177058670"/>
      <w:bookmarkStart w:id="72" w:name="_Toc296010769"/>
      <w:r>
        <w:rPr>
          <w:rFonts w:hint="eastAsia" w:ascii="仿宋_GB2312" w:hAnsi="仿宋_GB2312" w:eastAsia="仿宋_GB2312" w:cs="仿宋_GB2312"/>
          <w:b w:val="0"/>
          <w:bCs w:val="0"/>
          <w:sz w:val="32"/>
          <w:szCs w:val="32"/>
          <w:highlight w:val="none"/>
          <w:vertAlign w:val="baseline"/>
          <w:lang w:val="en-US" w:eastAsia="zh"/>
        </w:rPr>
        <w:t>（4）</w:t>
      </w:r>
      <w:r>
        <w:rPr>
          <w:rFonts w:hint="default" w:ascii="仿宋_GB2312" w:hAnsi="仿宋_GB2312" w:eastAsia="仿宋_GB2312" w:cs="仿宋_GB2312"/>
          <w:b w:val="0"/>
          <w:bCs w:val="0"/>
          <w:sz w:val="32"/>
          <w:szCs w:val="32"/>
          <w:highlight w:val="none"/>
          <w:vertAlign w:val="baseline"/>
          <w:lang w:val="en-US"/>
        </w:rPr>
        <w:t>2025年度内部控制评价工作情况</w:t>
      </w:r>
      <w:bookmarkEnd w:id="68"/>
      <w:bookmarkEnd w:id="69"/>
      <w:bookmarkEnd w:id="70"/>
      <w:bookmarkEnd w:id="71"/>
      <w:bookmarkEnd w:id="72"/>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上传单位自行开展内部控制评价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rPr>
      </w:pPr>
      <w:bookmarkStart w:id="73" w:name="_Toc503269517"/>
      <w:bookmarkStart w:id="74" w:name="_Toc1701550300"/>
      <w:bookmarkStart w:id="75" w:name="_Toc778061686"/>
      <w:bookmarkStart w:id="76" w:name="_Toc880275015"/>
      <w:bookmarkStart w:id="77" w:name="_Toc219967275"/>
      <w:r>
        <w:rPr>
          <w:rFonts w:hint="eastAsia" w:ascii="仿宋_GB2312" w:hAnsi="仿宋_GB2312" w:eastAsia="仿宋_GB2312" w:cs="仿宋_GB2312"/>
          <w:b w:val="0"/>
          <w:bCs w:val="0"/>
          <w:sz w:val="32"/>
          <w:szCs w:val="32"/>
          <w:highlight w:val="none"/>
          <w:lang w:val="en-US" w:eastAsia="zh"/>
        </w:rPr>
        <w:t>（5）</w:t>
      </w:r>
      <w:r>
        <w:rPr>
          <w:rFonts w:hint="default" w:ascii="仿宋_GB2312" w:hAnsi="仿宋_GB2312" w:eastAsia="仿宋_GB2312" w:cs="仿宋_GB2312"/>
          <w:b w:val="0"/>
          <w:bCs w:val="0"/>
          <w:sz w:val="32"/>
          <w:szCs w:val="32"/>
          <w:highlight w:val="none"/>
          <w:lang w:val="en-US" w:eastAsia="zh-CN"/>
        </w:rPr>
        <w:t>2025</w:t>
      </w:r>
      <w:r>
        <w:rPr>
          <w:rFonts w:hint="default" w:ascii="仿宋_GB2312" w:hAnsi="仿宋_GB2312" w:eastAsia="仿宋_GB2312" w:cs="仿宋_GB2312"/>
          <w:b w:val="0"/>
          <w:bCs w:val="0"/>
          <w:kern w:val="2"/>
          <w:sz w:val="32"/>
          <w:szCs w:val="32"/>
          <w:highlight w:val="none"/>
          <w:vertAlign w:val="baseline"/>
          <w:lang w:val="en-US" w:eastAsia="zh-CN" w:bidi="ar"/>
        </w:rPr>
        <w:t>年度单位内部控制报告审核情况</w:t>
      </w:r>
      <w:bookmarkEnd w:id="73"/>
      <w:bookmarkEnd w:id="74"/>
      <w:bookmarkEnd w:id="75"/>
      <w:bookmarkEnd w:id="76"/>
      <w:bookmarkEnd w:id="7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审核是否有关于</w:t>
      </w:r>
      <w:r>
        <w:rPr>
          <w:rFonts w:hint="default" w:ascii="仿宋_GB2312" w:hAnsi="仿宋_GB2312" w:eastAsia="仿宋_GB2312" w:cs="仿宋_GB2312"/>
          <w:sz w:val="32"/>
          <w:szCs w:val="32"/>
          <w:highlight w:val="none"/>
          <w:lang w:val="en-US" w:eastAsia="zh-CN"/>
        </w:rPr>
        <w:t>内部控制报告的正文、附件及佐证材料进行审核情况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，包括内部控制报告的规范性与完整性、单位内部控制评价得分的客观性与准确性</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以及佐证材料的真实性与相关性等。</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eastAsia="zh-CN"/>
        </w:rPr>
      </w:pPr>
      <w:bookmarkStart w:id="78" w:name="_Toc1382750557"/>
      <w:bookmarkStart w:id="79" w:name="_Toc130504878"/>
      <w:bookmarkStart w:id="80" w:name="_Toc1524954602"/>
      <w:r>
        <w:rPr>
          <w:rFonts w:hint="eastAsia" w:ascii="仿宋_GB2312" w:hAnsi="仿宋_GB2312" w:eastAsia="仿宋_GB2312" w:cs="仿宋_GB2312"/>
          <w:b w:val="0"/>
          <w:sz w:val="32"/>
          <w:szCs w:val="32"/>
          <w:highlight w:val="none"/>
          <w:lang w:val="en-US" w:eastAsia="zh"/>
        </w:rPr>
        <w:t>2.</w:t>
      </w:r>
      <w:r>
        <w:rPr>
          <w:rFonts w:hint="default" w:ascii="仿宋_GB2312" w:hAnsi="仿宋_GB2312" w:eastAsia="仿宋_GB2312" w:cs="仿宋_GB2312"/>
          <w:b w:val="0"/>
          <w:sz w:val="32"/>
          <w:szCs w:val="32"/>
          <w:highlight w:val="none"/>
          <w:lang w:val="en-US" w:eastAsia="zh-CN"/>
        </w:rPr>
        <w:t>单位巡视巡察、纪检监察、审计、财会监督等工作发现的与内部控制相关问题及其整改情况</w:t>
      </w:r>
      <w:bookmarkEnd w:id="78"/>
      <w:bookmarkEnd w:id="79"/>
      <w:bookmarkEnd w:id="80"/>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审核是否准确填报</w:t>
      </w:r>
      <w:r>
        <w:rPr>
          <w:rFonts w:hint="default" w:ascii="仿宋_GB2312" w:hAnsi="仿宋_GB2312" w:eastAsia="仿宋_GB2312" w:cs="仿宋_GB2312"/>
          <w:sz w:val="32"/>
          <w:szCs w:val="32"/>
          <w:highlight w:val="none"/>
          <w:lang w:val="en-US" w:eastAsia="zh-CN"/>
        </w:rPr>
        <w:t>2025年度巡视巡察、纪检监察、审计、财会监督等工作发现</w:t>
      </w:r>
      <w:r>
        <w:rPr>
          <w:rFonts w:hint="eastAsia" w:ascii="仿宋_GB2312" w:hAnsi="仿宋_GB2312" w:eastAsia="仿宋_GB2312" w:cs="仿宋_GB2312"/>
          <w:sz w:val="32"/>
          <w:szCs w:val="32"/>
          <w:highlight w:val="none"/>
          <w:lang w:val="en-US" w:eastAsia="zh"/>
        </w:rPr>
        <w:t>的</w:t>
      </w:r>
      <w:r>
        <w:rPr>
          <w:rFonts w:hint="default" w:ascii="仿宋_GB2312" w:hAnsi="仿宋_GB2312" w:eastAsia="仿宋_GB2312" w:cs="仿宋_GB2312"/>
          <w:sz w:val="32"/>
          <w:szCs w:val="32"/>
          <w:highlight w:val="none"/>
          <w:lang w:val="en-US" w:eastAsia="zh-CN"/>
        </w:rPr>
        <w:t>与内部控制相关问题总数，已完成整改问题数量、正在进行整改问题数量及未整改问题数量。</w:t>
      </w:r>
      <w:r>
        <w:rPr>
          <w:rFonts w:hint="default"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lang w:eastAsia="zh"/>
        </w:rPr>
        <w:t>填报了</w:t>
      </w:r>
      <w:r>
        <w:rPr>
          <w:rFonts w:hint="default" w:ascii="仿宋_GB2312" w:hAnsi="仿宋_GB2312" w:eastAsia="仿宋_GB2312" w:cs="仿宋_GB2312"/>
          <w:sz w:val="32"/>
          <w:szCs w:val="32"/>
          <w:highlight w:val="none"/>
          <w:lang w:eastAsia="zh-CN"/>
        </w:rPr>
        <w:t>存在问题，</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列示具体问题及整改情况。</w:t>
      </w:r>
      <w:r>
        <w:rPr>
          <w:rFonts w:hint="default" w:ascii="仿宋_GB2312" w:hAnsi="仿宋_GB2312" w:eastAsia="仿宋_GB2312" w:cs="仿宋_GB2312"/>
          <w:sz w:val="32"/>
          <w:szCs w:val="32"/>
          <w:highlight w:val="none"/>
          <w:lang w:val="en-US" w:eastAsia="zh-CN"/>
        </w:rPr>
        <w:t>相关问题总数</w:t>
      </w:r>
      <w:r>
        <w:rPr>
          <w:rFonts w:hint="eastAsia" w:ascii="仿宋_GB2312" w:hAnsi="仿宋_GB2312" w:eastAsia="仿宋_GB2312" w:cs="仿宋_GB2312"/>
          <w:sz w:val="32"/>
          <w:szCs w:val="32"/>
          <w:highlight w:val="none"/>
          <w:lang w:val="en-US" w:eastAsia="zh"/>
        </w:rPr>
        <w:t>应等于</w:t>
      </w:r>
      <w:r>
        <w:rPr>
          <w:rFonts w:hint="default" w:ascii="仿宋_GB2312" w:hAnsi="仿宋_GB2312" w:eastAsia="仿宋_GB2312" w:cs="仿宋_GB2312"/>
          <w:sz w:val="32"/>
          <w:szCs w:val="32"/>
          <w:highlight w:val="none"/>
          <w:lang w:val="en-US" w:eastAsia="zh-CN"/>
        </w:rPr>
        <w:t>已完成整改问题数量、正在进行整改问题数量及未整改问题数量</w:t>
      </w:r>
      <w:r>
        <w:rPr>
          <w:rFonts w:hint="eastAsia" w:ascii="仿宋_GB2312" w:hAnsi="仿宋_GB2312" w:eastAsia="仿宋_GB2312" w:cs="仿宋_GB2312"/>
          <w:sz w:val="32"/>
          <w:szCs w:val="32"/>
          <w:highlight w:val="none"/>
          <w:lang w:val="en-US" w:eastAsia="zh"/>
        </w:rPr>
        <w:t>之和。</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81" w:name="_Toc1870713595"/>
      <w:bookmarkStart w:id="82" w:name="_Toc1812422085"/>
      <w:bookmarkStart w:id="83" w:name="_Toc580163682"/>
      <w:bookmarkStart w:id="84" w:name="_Toc3963"/>
      <w:bookmarkStart w:id="85" w:name="_Toc6669"/>
      <w:r>
        <w:rPr>
          <w:rFonts w:hint="eastAsia" w:ascii="楷体_GB2312" w:hAnsi="楷体_GB2312" w:eastAsia="楷体_GB2312" w:cs="楷体_GB2312"/>
          <w:b w:val="0"/>
          <w:bCs w:val="0"/>
          <w:highlight w:val="none"/>
          <w:lang w:eastAsia="zh"/>
        </w:rPr>
        <w:t>（四）内部控制报告附件的规范性和完整性</w:t>
      </w:r>
      <w:bookmarkEnd w:id="81"/>
      <w:bookmarkEnd w:id="82"/>
      <w:bookmarkEnd w:id="83"/>
      <w:bookmarkEnd w:id="84"/>
      <w:bookmarkEnd w:id="85"/>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审核报送的内部控制报告附件是否符合内部控制报告填报要求，内容</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完整。</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86" w:name="_Toc7714"/>
      <w:bookmarkStart w:id="87" w:name="_Toc24941"/>
      <w:bookmarkStart w:id="88" w:name="_Toc882413515"/>
      <w:bookmarkStart w:id="89" w:name="_Toc160698357"/>
      <w:bookmarkStart w:id="90" w:name="_Toc149987546"/>
      <w:r>
        <w:rPr>
          <w:rFonts w:hint="eastAsia" w:ascii="楷体_GB2312" w:hAnsi="楷体_GB2312" w:eastAsia="楷体_GB2312" w:cs="楷体_GB2312"/>
          <w:b w:val="0"/>
          <w:bCs w:val="0"/>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86"/>
      <w:bookmarkEnd w:id="87"/>
      <w:bookmarkEnd w:id="88"/>
      <w:bookmarkEnd w:id="89"/>
      <w:bookmarkEnd w:id="90"/>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严格按照评价指标、评价内容与评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w:t>
      </w:r>
      <w:r>
        <w:rPr>
          <w:rFonts w:hint="default" w:ascii="仿宋_GB2312" w:hAnsi="仿宋_GB2312" w:eastAsia="仿宋_GB2312" w:cs="仿宋_GB2312"/>
          <w:sz w:val="32"/>
          <w:szCs w:val="32"/>
          <w:highlight w:val="none"/>
        </w:rPr>
        <w:t>本单位内部</w:t>
      </w:r>
      <w:r>
        <w:rPr>
          <w:rFonts w:hint="eastAsia" w:ascii="仿宋_GB2312" w:hAnsi="仿宋_GB2312" w:eastAsia="仿宋_GB2312" w:cs="仿宋_GB2312"/>
          <w:sz w:val="32"/>
          <w:szCs w:val="32"/>
          <w:highlight w:val="none"/>
          <w:lang w:eastAsia="zh-CN"/>
        </w:rPr>
        <w:t>控制</w:t>
      </w:r>
      <w:r>
        <w:rPr>
          <w:rFonts w:hint="default" w:ascii="仿宋_GB2312" w:hAnsi="仿宋_GB2312" w:eastAsia="仿宋_GB2312" w:cs="仿宋_GB2312"/>
          <w:sz w:val="32"/>
          <w:szCs w:val="32"/>
          <w:highlight w:val="none"/>
        </w:rPr>
        <w:t>建立与实施情况客观公正地进行评分，</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91" w:name="_Toc614557623"/>
      <w:bookmarkStart w:id="92" w:name="_Toc406056465"/>
      <w:bookmarkStart w:id="93" w:name="_Toc877548337"/>
      <w:bookmarkStart w:id="94" w:name="_Toc18598"/>
      <w:bookmarkStart w:id="95" w:name="_Toc11280"/>
      <w:r>
        <w:rPr>
          <w:rFonts w:hint="eastAsia" w:ascii="楷体_GB2312" w:hAnsi="楷体_GB2312" w:eastAsia="楷体_GB2312" w:cs="楷体_GB2312"/>
          <w:b w:val="0"/>
          <w:bCs w:val="0"/>
          <w:highlight w:val="none"/>
          <w:lang w:eastAsia="zh"/>
        </w:rPr>
        <w:t>（六）佐证材料的真实性和相关性</w:t>
      </w:r>
      <w:bookmarkEnd w:id="91"/>
      <w:bookmarkEnd w:id="92"/>
      <w:bookmarkEnd w:id="93"/>
      <w:bookmarkEnd w:id="94"/>
      <w:bookmarkEnd w:id="95"/>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96" w:name="_Toc1385118652"/>
      <w:bookmarkStart w:id="97" w:name="_Toc1562910676"/>
      <w:bookmarkStart w:id="98" w:name="_Toc2276"/>
      <w:bookmarkStart w:id="99" w:name="_Toc5073"/>
      <w:bookmarkStart w:id="100" w:name="_Toc32672"/>
      <w:bookmarkStart w:id="101" w:name="_Toc1638714545"/>
      <w:bookmarkStart w:id="102" w:name="_Toc30046"/>
      <w:r>
        <w:rPr>
          <w:rFonts w:hint="eastAsia" w:ascii="黑体" w:hAnsi="黑体" w:eastAsia="黑体" w:cs="黑体"/>
          <w:b w:val="0"/>
          <w:bCs w:val="0"/>
          <w:highlight w:val="none"/>
          <w:lang w:eastAsia="zh"/>
        </w:rPr>
        <w:t>二、部门</w:t>
      </w:r>
      <w:r>
        <w:rPr>
          <w:rFonts w:hint="eastAsia" w:ascii="黑体" w:hAnsi="黑体" w:eastAsia="黑体" w:cs="黑体"/>
          <w:b w:val="0"/>
          <w:bCs w:val="0"/>
          <w:highlight w:val="none"/>
        </w:rPr>
        <w:t>内部控制报告</w:t>
      </w:r>
      <w:bookmarkEnd w:id="96"/>
      <w:bookmarkEnd w:id="97"/>
      <w:r>
        <w:rPr>
          <w:rFonts w:hint="eastAsia" w:ascii="黑体" w:hAnsi="黑体" w:eastAsia="黑体" w:cs="黑体"/>
          <w:b w:val="0"/>
          <w:bCs w:val="0"/>
          <w:highlight w:val="none"/>
          <w:lang w:eastAsia="zh"/>
        </w:rPr>
        <w:t>审核</w:t>
      </w:r>
      <w:bookmarkEnd w:id="98"/>
      <w:bookmarkEnd w:id="99"/>
      <w:bookmarkEnd w:id="100"/>
      <w:bookmarkEnd w:id="101"/>
      <w:bookmarkEnd w:id="102"/>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lang w:eastAsia="zh"/>
        </w:rPr>
      </w:pPr>
      <w:bookmarkStart w:id="103" w:name="_Toc447325960"/>
      <w:bookmarkStart w:id="104" w:name="_Toc1161117016"/>
      <w:bookmarkStart w:id="105" w:name="_Toc32570"/>
      <w:bookmarkStart w:id="106" w:name="_Toc18367"/>
      <w:bookmarkStart w:id="107" w:name="_Toc1647605078"/>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03"/>
      <w:bookmarkEnd w:id="104"/>
      <w:bookmarkEnd w:id="105"/>
      <w:bookmarkEnd w:id="106"/>
      <w:bookmarkEnd w:id="10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填列完整，正式行文报送时经部门主要负责人签字或盖章，并加盖公章。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08" w:name="_Toc423836750"/>
      <w:bookmarkStart w:id="109" w:name="_Toc25557"/>
      <w:bookmarkStart w:id="110" w:name="_Toc941329817"/>
      <w:bookmarkStart w:id="111" w:name="_Toc1872042066"/>
      <w:bookmarkStart w:id="112" w:name="_Toc21433"/>
      <w:r>
        <w:rPr>
          <w:rFonts w:hint="eastAsia" w:ascii="楷体_GB2312" w:hAnsi="楷体_GB2312" w:eastAsia="楷体_GB2312" w:cs="楷体_GB2312"/>
          <w:highlight w:val="none"/>
          <w:lang w:eastAsia="zh"/>
        </w:rPr>
        <w:t>（二）基础数据的规范性</w:t>
      </w:r>
      <w:bookmarkEnd w:id="108"/>
      <w:bookmarkEnd w:id="109"/>
      <w:bookmarkEnd w:id="110"/>
      <w:bookmarkEnd w:id="111"/>
      <w:bookmarkEnd w:id="112"/>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113" w:name="_Toc1852486661"/>
      <w:bookmarkStart w:id="114" w:name="_Toc1455706674"/>
      <w:bookmarkStart w:id="115" w:name="_Toc729600157"/>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13"/>
      <w:bookmarkEnd w:id="114"/>
      <w:bookmarkEnd w:id="115"/>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本级及所属单位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lang w:eastAsia="zh"/>
        </w:rPr>
      </w:pPr>
      <w:bookmarkStart w:id="116" w:name="_Toc1884384400"/>
      <w:bookmarkStart w:id="117" w:name="_Toc463162814"/>
      <w:bookmarkStart w:id="118" w:name="_Toc1485099280"/>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基本情况</w:t>
      </w:r>
      <w:r>
        <w:rPr>
          <w:rFonts w:hint="eastAsia" w:ascii="仿宋_GB2312" w:hAnsi="仿宋_GB2312" w:eastAsia="仿宋_GB2312" w:cs="仿宋_GB2312"/>
          <w:b w:val="0"/>
          <w:bCs w:val="0"/>
          <w:szCs w:val="32"/>
          <w:highlight w:val="none"/>
          <w:lang w:eastAsia="zh"/>
        </w:rPr>
        <w:t>数据准确</w:t>
      </w:r>
      <w:bookmarkEnd w:id="116"/>
      <w:bookmarkEnd w:id="117"/>
      <w:bookmarkEnd w:id="118"/>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如有使用单机版软件填报情况，</w:t>
      </w:r>
      <w:r>
        <w:rPr>
          <w:rFonts w:hint="eastAsia" w:ascii="仿宋_GB2312" w:hAnsi="仿宋_GB2312" w:eastAsia="仿宋_GB2312" w:cs="仿宋_GB2312"/>
          <w:sz w:val="32"/>
          <w:szCs w:val="32"/>
          <w:highlight w:val="none"/>
          <w:lang w:val="en-US" w:eastAsia="zh-CN"/>
        </w:rPr>
        <w:t>还应当包括使用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预算分级管理的级次选择填列</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19" w:name="_Toc22950"/>
      <w:bookmarkStart w:id="120" w:name="_Toc15263"/>
      <w:bookmarkStart w:id="121" w:name="_Toc704415058"/>
      <w:bookmarkStart w:id="122" w:name="_Toc1955969047"/>
      <w:bookmarkStart w:id="123" w:name="_Toc711995502"/>
      <w:r>
        <w:rPr>
          <w:rFonts w:hint="eastAsia" w:ascii="楷体_GB2312" w:hAnsi="楷体_GB2312" w:eastAsia="楷体_GB2312" w:cs="楷体_GB2312"/>
          <w:b w:val="0"/>
          <w:bCs w:val="0"/>
          <w:highlight w:val="none"/>
          <w:lang w:eastAsia="zh"/>
        </w:rPr>
        <w:t>（三）内部控制报告文本规范性</w:t>
      </w:r>
      <w:bookmarkEnd w:id="119"/>
      <w:bookmarkEnd w:id="120"/>
      <w:bookmarkEnd w:id="121"/>
      <w:bookmarkEnd w:id="122"/>
      <w:bookmarkEnd w:id="123"/>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4" w:name="_Toc1393361224"/>
      <w:bookmarkStart w:id="125" w:name="_Toc708039436"/>
      <w:bookmarkStart w:id="126" w:name="_Toc92988733"/>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部门内部控制工作开展情况</w:t>
      </w:r>
      <w:bookmarkEnd w:id="124"/>
      <w:bookmarkEnd w:id="125"/>
      <w:bookmarkEnd w:id="126"/>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部门层面内部控制机构设置与2025年度运行情况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评价部门</w:t>
      </w:r>
      <w:r>
        <w:rPr>
          <w:rFonts w:hint="eastAsia" w:ascii="仿宋_GB2312" w:hAnsi="仿宋_GB2312" w:eastAsia="仿宋_GB2312" w:cs="仿宋_GB2312"/>
          <w:sz w:val="32"/>
          <w:szCs w:val="32"/>
          <w:highlight w:val="none"/>
          <w:lang w:val="en-US" w:eastAsia="zh"/>
        </w:rPr>
        <w:t>设置情况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w:t>
      </w:r>
      <w:r>
        <w:rPr>
          <w:rFonts w:hint="default" w:ascii="仿宋_GB2312" w:hAnsi="仿宋_GB2312" w:eastAsia="仿宋_GB2312" w:cs="仿宋_GB2312"/>
          <w:sz w:val="32"/>
          <w:szCs w:val="32"/>
          <w:highlight w:val="none"/>
          <w:lang w:val="en-US" w:eastAsia="zh-CN"/>
        </w:rPr>
        <w:t>2025年度内部控制领导机构召开会议情况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对部门本级及所属单位内部控制工作的部署安排、培训、指导监督等情况。</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（2）</w:t>
      </w:r>
      <w:r>
        <w:rPr>
          <w:rFonts w:hint="default" w:ascii="仿宋_GB2312" w:hAnsi="仿宋_GB2312" w:eastAsia="仿宋_GB2312" w:cs="仿宋_GB2312"/>
          <w:b w:val="0"/>
          <w:color w:val="000000"/>
          <w:kern w:val="2"/>
          <w:sz w:val="32"/>
          <w:szCs w:val="32"/>
          <w:highlight w:val="none"/>
          <w:vertAlign w:val="baseline"/>
          <w:lang w:val="en-US" w:eastAsia="zh-CN" w:bidi="ar"/>
        </w:rPr>
        <w:t>部门层面内部控制制度建设、年度更新及实施情况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审核是否描述</w:t>
      </w:r>
      <w:r>
        <w:rPr>
          <w:rFonts w:hint="default" w:ascii="仿宋_GB2312" w:hAnsi="仿宋_GB2312" w:eastAsia="仿宋_GB2312" w:cs="仿宋_GB2312"/>
          <w:sz w:val="32"/>
          <w:szCs w:val="32"/>
          <w:highlight w:val="none"/>
          <w:lang w:val="en-US" w:eastAsia="zh-CN"/>
        </w:rPr>
        <w:t>部门层面内部控制工作的有关制度名称、主要内容</w:t>
      </w:r>
      <w:r>
        <w:rPr>
          <w:rFonts w:hint="eastAsia" w:ascii="仿宋_GB2312" w:hAnsi="仿宋_GB2312" w:eastAsia="仿宋_GB2312" w:cs="仿宋_GB2312"/>
          <w:sz w:val="32"/>
          <w:szCs w:val="32"/>
          <w:highlight w:val="none"/>
          <w:lang w:val="en-US" w:eastAsia="zh"/>
        </w:rPr>
        <w:t>及</w:t>
      </w:r>
      <w:r>
        <w:rPr>
          <w:rFonts w:hint="default" w:ascii="仿宋_GB2312" w:hAnsi="仿宋_GB2312" w:eastAsia="仿宋_GB2312" w:cs="仿宋_GB2312"/>
          <w:sz w:val="32"/>
          <w:szCs w:val="32"/>
          <w:highlight w:val="none"/>
          <w:lang w:val="en-US" w:eastAsia="zh-CN"/>
        </w:rPr>
        <w:t>2025年度更新情况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部门内部控制制度实施的范围、方式方法、效果等。</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（3）</w:t>
      </w:r>
      <w:r>
        <w:rPr>
          <w:rFonts w:hint="default" w:ascii="仿宋_GB2312" w:hAnsi="仿宋_GB2312" w:eastAsia="仿宋_GB2312" w:cs="仿宋_GB2312"/>
          <w:b w:val="0"/>
          <w:color w:val="000000"/>
          <w:kern w:val="2"/>
          <w:sz w:val="32"/>
          <w:szCs w:val="32"/>
          <w:highlight w:val="none"/>
          <w:vertAlign w:val="baseline"/>
          <w:lang w:val="en-US" w:eastAsia="zh-CN" w:bidi="ar"/>
        </w:rPr>
        <w:t>2025年度部门层面内部控制评价工作情况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w:t>
      </w:r>
      <w:r>
        <w:rPr>
          <w:rFonts w:hint="eastAsia" w:ascii="仿宋_GB2312" w:hAnsi="仿宋_GB2312" w:eastAsia="仿宋_GB2312" w:cs="仿宋_GB2312"/>
          <w:sz w:val="32"/>
          <w:szCs w:val="32"/>
          <w:highlight w:val="none"/>
          <w:lang w:val="en-US" w:eastAsia="zh"/>
        </w:rPr>
        <w:t>部门</w:t>
      </w:r>
      <w:r>
        <w:rPr>
          <w:rFonts w:hint="default" w:ascii="仿宋_GB2312" w:hAnsi="仿宋_GB2312" w:eastAsia="仿宋_GB2312" w:cs="仿宋_GB2312"/>
          <w:sz w:val="32"/>
          <w:szCs w:val="32"/>
          <w:highlight w:val="none"/>
          <w:lang w:val="en-US" w:eastAsia="zh"/>
        </w:rPr>
        <w:t>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（4）</w:t>
      </w:r>
      <w:r>
        <w:rPr>
          <w:rFonts w:hint="default" w:ascii="仿宋_GB2312" w:hAnsi="仿宋_GB2312" w:eastAsia="仿宋_GB2312" w:cs="仿宋_GB2312"/>
          <w:b w:val="0"/>
          <w:color w:val="000000"/>
          <w:kern w:val="2"/>
          <w:sz w:val="32"/>
          <w:szCs w:val="32"/>
          <w:highlight w:val="none"/>
          <w:vertAlign w:val="baseline"/>
          <w:lang w:val="en-US" w:eastAsia="zh-CN" w:bidi="ar"/>
        </w:rPr>
        <w:t>2025年度内部控制报告审核情况</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32"/>
          <w:szCs w:val="32"/>
          <w:highlight w:val="none"/>
          <w:vertAlign w:val="baseline"/>
          <w:lang w:val="en-US" w:eastAsia="zh" w:bidi="ar-SA"/>
        </w:rPr>
        <w:t>审核是否有关于部门</w:t>
      </w:r>
      <w:r>
        <w:rPr>
          <w:rFonts w:hint="default" w:ascii="仿宋_GB2312" w:hAnsi="仿宋_GB2312" w:eastAsia="仿宋_GB2312" w:cs="仿宋_GB2312"/>
          <w:kern w:val="2"/>
          <w:sz w:val="32"/>
          <w:szCs w:val="32"/>
          <w:highlight w:val="none"/>
          <w:vertAlign w:val="baseline"/>
          <w:lang w:val="en-US" w:eastAsia="zh-CN" w:bidi="ar-SA"/>
        </w:rPr>
        <w:t>汇总内部控制报告、部门本级及所属单位内部控制报告的正文、附件及佐证材料审核</w:t>
      </w:r>
      <w:r>
        <w:rPr>
          <w:rFonts w:hint="eastAsia" w:ascii="仿宋_GB2312" w:hAnsi="仿宋_GB2312" w:eastAsia="仿宋_GB2312" w:cs="仿宋_GB2312"/>
          <w:kern w:val="2"/>
          <w:sz w:val="32"/>
          <w:szCs w:val="32"/>
          <w:highlight w:val="none"/>
          <w:vertAlign w:val="baseline"/>
          <w:lang w:val="en-US" w:eastAsia="zh" w:bidi="ar-SA"/>
        </w:rPr>
        <w:t>情况的表述</w:t>
      </w:r>
      <w:r>
        <w:rPr>
          <w:rFonts w:hint="default" w:ascii="仿宋_GB2312" w:hAnsi="仿宋_GB2312" w:eastAsia="仿宋_GB2312" w:cs="仿宋_GB2312"/>
          <w:kern w:val="2"/>
          <w:sz w:val="32"/>
          <w:szCs w:val="32"/>
          <w:highlight w:val="none"/>
          <w:vertAlign w:val="baseline"/>
          <w:lang w:val="en-US" w:eastAsia="zh-CN" w:bidi="ar-SA"/>
        </w:rPr>
        <w:t>，包括内部控制报告的规范性与完整性、内部控制评价结果的客观性与准确性，以及佐证材料的真实性与相关性等。开展现场核查的，</w:t>
      </w:r>
      <w:r>
        <w:rPr>
          <w:rFonts w:hint="eastAsia" w:ascii="仿宋_GB2312" w:hAnsi="仿宋_GB2312" w:eastAsia="仿宋_GB2312" w:cs="仿宋_GB2312"/>
          <w:kern w:val="2"/>
          <w:sz w:val="32"/>
          <w:szCs w:val="32"/>
          <w:highlight w:val="none"/>
          <w:vertAlign w:val="baseline"/>
          <w:lang w:val="en-US" w:eastAsia="zh" w:bidi="ar-SA"/>
        </w:rPr>
        <w:t>应有</w:t>
      </w:r>
      <w:r>
        <w:rPr>
          <w:rFonts w:hint="default" w:ascii="仿宋_GB2312" w:hAnsi="仿宋_GB2312" w:eastAsia="仿宋_GB2312" w:cs="仿宋_GB2312"/>
          <w:kern w:val="2"/>
          <w:sz w:val="32"/>
          <w:szCs w:val="32"/>
          <w:highlight w:val="none"/>
          <w:vertAlign w:val="baseline"/>
          <w:lang w:val="en-US" w:eastAsia="zh-CN" w:bidi="ar-SA"/>
        </w:rPr>
        <w:t>现场核查情况</w:t>
      </w:r>
      <w:r>
        <w:rPr>
          <w:rFonts w:hint="eastAsia" w:ascii="仿宋_GB2312" w:hAnsi="仿宋_GB2312" w:eastAsia="仿宋_GB2312" w:cs="仿宋_GB2312"/>
          <w:kern w:val="2"/>
          <w:sz w:val="32"/>
          <w:szCs w:val="32"/>
          <w:highlight w:val="none"/>
          <w:vertAlign w:val="baseline"/>
          <w:lang w:val="en-US" w:eastAsia="zh" w:bidi="ar-SA"/>
        </w:rPr>
        <w:t>的表述</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7" w:name="_Toc1387645378"/>
      <w:bookmarkStart w:id="128" w:name="_Toc1912786645"/>
      <w:bookmarkStart w:id="129" w:name="_Toc1391387077"/>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部门本级及所属单位内部控制工作汇总情况</w:t>
      </w:r>
      <w:bookmarkEnd w:id="127"/>
      <w:bookmarkEnd w:id="128"/>
      <w:bookmarkEnd w:id="129"/>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w:t>
      </w:r>
      <w:r>
        <w:rPr>
          <w:rFonts w:hint="eastAsia" w:ascii="仿宋_GB2312" w:hAnsi="仿宋_GB2312" w:eastAsia="仿宋_GB2312" w:cs="仿宋_GB2312"/>
          <w:kern w:val="2"/>
          <w:sz w:val="32"/>
          <w:szCs w:val="32"/>
          <w:highlight w:val="none"/>
          <w:vertAlign w:val="baseline"/>
          <w:lang w:val="en-US" w:eastAsia="zh-CN" w:bidi="ar-SA"/>
        </w:rPr>
        <w:t>的内容</w:t>
      </w:r>
      <w:r>
        <w:rPr>
          <w:rFonts w:hint="eastAsia" w:ascii="仿宋_GB2312" w:hAnsi="仿宋_GB2312" w:eastAsia="仿宋_GB2312" w:cs="仿宋_GB2312"/>
          <w:kern w:val="2"/>
          <w:sz w:val="32"/>
          <w:szCs w:val="32"/>
          <w:highlight w:val="none"/>
          <w:vertAlign w:val="baseline"/>
          <w:lang w:val="en-US" w:eastAsia="zh" w:bidi="ar-SA"/>
        </w:rPr>
        <w:t>是否与</w:t>
      </w:r>
      <w:r>
        <w:rPr>
          <w:rFonts w:hint="default" w:ascii="仿宋_GB2312" w:hAnsi="仿宋_GB2312" w:eastAsia="仿宋_GB2312" w:cs="仿宋_GB2312"/>
          <w:kern w:val="2"/>
          <w:sz w:val="32"/>
          <w:szCs w:val="32"/>
          <w:highlight w:val="none"/>
          <w:vertAlign w:val="baseline"/>
          <w:lang w:val="en-US" w:eastAsia="zh" w:bidi="ar-SA"/>
        </w:rPr>
        <w:t>部门本级及所属单位</w:t>
      </w:r>
      <w:r>
        <w:rPr>
          <w:rFonts w:hint="eastAsia" w:ascii="仿宋_GB2312" w:hAnsi="仿宋_GB2312" w:eastAsia="仿宋_GB2312" w:cs="仿宋_GB2312"/>
          <w:kern w:val="2"/>
          <w:sz w:val="32"/>
          <w:szCs w:val="32"/>
          <w:highlight w:val="none"/>
          <w:vertAlign w:val="baseline"/>
          <w:lang w:val="en-US" w:eastAsia="zh" w:bidi="ar-SA"/>
        </w:rPr>
        <w:t>实际情况一致</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部门层面内部控制工作及组织推动所属单位开展内部控制工作过程中总结出</w:t>
      </w:r>
      <w:r>
        <w:rPr>
          <w:rFonts w:hint="eastAsia" w:ascii="仿宋_GB2312" w:hAnsi="Calibri" w:eastAsia="仿宋_GB2312" w:cs="仿宋_GB2312"/>
          <w:kern w:val="2"/>
          <w:sz w:val="32"/>
          <w:szCs w:val="32"/>
          <w:lang w:val="en-US" w:eastAsia="zh-CN" w:bidi="ar"/>
        </w:rPr>
        <w:t>的</w:t>
      </w:r>
      <w:r>
        <w:rPr>
          <w:rFonts w:hint="default" w:ascii="仿宋_GB2312" w:hAnsi="Calibri" w:eastAsia="仿宋_GB2312" w:cs="仿宋_GB2312"/>
          <w:kern w:val="2"/>
          <w:sz w:val="32"/>
          <w:szCs w:val="32"/>
          <w:lang w:val="en-US" w:eastAsia="zh-CN" w:bidi="ar"/>
        </w:rPr>
        <w:t>经验做法和</w:t>
      </w:r>
      <w:r>
        <w:rPr>
          <w:rFonts w:hint="eastAsia" w:ascii="仿宋_GB2312" w:hAnsi="Calibri" w:eastAsia="仿宋_GB2312" w:cs="仿宋_GB2312"/>
          <w:kern w:val="2"/>
          <w:sz w:val="32"/>
          <w:szCs w:val="32"/>
          <w:lang w:val="en-US" w:eastAsia="zh-CN" w:bidi="ar"/>
        </w:rPr>
        <w:t>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right="0" w:firstLine="640" w:firstLineChars="200"/>
        <w:jc w:val="both"/>
        <w:rPr>
          <w:rFonts w:hint="eastAsia" w:ascii="仿宋_GB2312" w:hAnsi="仿宋_GB2312" w:eastAsia="仿宋_GB2312" w:cs="仿宋_GB2312"/>
          <w:kern w:val="2"/>
          <w:sz w:val="32"/>
          <w:szCs w:val="32"/>
          <w:highlight w:val="none"/>
          <w:vertAlign w:val="baseline"/>
          <w:lang w:val="en-US" w:eastAsia="zh" w:bidi="ar-SA"/>
        </w:rPr>
      </w:pPr>
      <w:r>
        <w:rPr>
          <w:rFonts w:hint="eastAsia" w:ascii="仿宋_GB2312" w:hAnsi="Calibri" w:eastAsia="仿宋_GB2312" w:cs="仿宋_GB2312"/>
          <w:kern w:val="2"/>
          <w:sz w:val="32"/>
          <w:szCs w:val="32"/>
          <w:lang w:val="en-US" w:eastAsia="zh" w:bidi="ar"/>
        </w:rPr>
        <w:t>审核是否有</w:t>
      </w:r>
      <w:r>
        <w:rPr>
          <w:rFonts w:hint="eastAsia" w:ascii="仿宋_GB2312" w:hAnsi="Calibri" w:eastAsia="仿宋_GB2312" w:cs="仿宋_GB2312"/>
          <w:kern w:val="2"/>
          <w:sz w:val="32"/>
          <w:szCs w:val="32"/>
          <w:lang w:val="en-US" w:eastAsia="zh-CN" w:bidi="ar"/>
        </w:rPr>
        <w:t>关于</w:t>
      </w:r>
      <w:r>
        <w:rPr>
          <w:rFonts w:hint="default" w:ascii="仿宋_GB2312" w:hAnsi="Calibri" w:eastAsia="仿宋_GB2312" w:cs="仿宋_GB2312"/>
          <w:kern w:val="2"/>
          <w:sz w:val="32"/>
          <w:szCs w:val="32"/>
          <w:lang w:val="en-US" w:eastAsia="zh-CN" w:bidi="ar"/>
        </w:rPr>
        <w:t>行政事业单位内部控制建设与实施、内部控制评价、内部控制报告编报等</w:t>
      </w:r>
      <w:r>
        <w:rPr>
          <w:rFonts w:hint="eastAsia" w:ascii="仿宋_GB2312" w:hAnsi="Calibri" w:eastAsia="仿宋_GB2312" w:cs="仿宋_GB2312"/>
          <w:kern w:val="2"/>
          <w:sz w:val="32"/>
          <w:szCs w:val="32"/>
          <w:lang w:val="en-US" w:eastAsia="zh-CN" w:bidi="ar"/>
        </w:rPr>
        <w:t>工作</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30" w:name="_Toc29964"/>
      <w:bookmarkStart w:id="131" w:name="_Toc1062468438"/>
      <w:bookmarkStart w:id="132" w:name="_Toc1681557713"/>
      <w:bookmarkStart w:id="133" w:name="_Toc32720"/>
      <w:bookmarkStart w:id="134" w:name="_Toc1861032809"/>
      <w:r>
        <w:rPr>
          <w:rFonts w:hint="eastAsia" w:ascii="楷体_GB2312" w:hAnsi="楷体_GB2312" w:eastAsia="楷体_GB2312" w:cs="楷体_GB2312"/>
          <w:b w:val="0"/>
          <w:bCs w:val="0"/>
          <w:highlight w:val="none"/>
          <w:lang w:eastAsia="zh"/>
        </w:rPr>
        <w:t>（四）内部控制报告附件的规范性和完整性</w:t>
      </w:r>
      <w:bookmarkEnd w:id="130"/>
      <w:bookmarkEnd w:id="131"/>
      <w:bookmarkEnd w:id="132"/>
      <w:bookmarkEnd w:id="133"/>
      <w:bookmarkEnd w:id="134"/>
    </w:p>
    <w:p>
      <w:pPr>
        <w:pageBreakBefore w:val="0"/>
        <w:numPr>
          <w:ilvl w:val="-1"/>
          <w:numId w:val="0"/>
        </w:numPr>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各所属单位报送的内部控制报告附件是否符合内部控制报告填报要求，内容</w:t>
      </w:r>
      <w:r>
        <w:rPr>
          <w:rFonts w:hint="eastAsia" w:ascii="仿宋_GB2312" w:hAnsi="仿宋_GB2312" w:eastAsia="仿宋_GB2312" w:cs="仿宋_GB2312"/>
          <w:sz w:val="32"/>
          <w:szCs w:val="32"/>
          <w:highlight w:val="none"/>
          <w:lang w:eastAsia="zh-CN"/>
        </w:rPr>
        <w:t>是否完整</w:t>
      </w:r>
      <w:r>
        <w:rPr>
          <w:rFonts w:hint="eastAsia"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35" w:name="_Toc579997146"/>
      <w:bookmarkStart w:id="136" w:name="_Toc1498066570"/>
      <w:bookmarkStart w:id="137" w:name="_Toc24308"/>
      <w:bookmarkStart w:id="138" w:name="_Toc1751741757"/>
      <w:bookmarkStart w:id="139" w:name="_Toc30613"/>
      <w:r>
        <w:rPr>
          <w:rFonts w:hint="eastAsia" w:ascii="楷体_GB2312" w:hAnsi="楷体_GB2312" w:eastAsia="楷体_GB2312" w:cs="楷体_GB2312"/>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135"/>
      <w:bookmarkEnd w:id="136"/>
      <w:bookmarkEnd w:id="137"/>
      <w:bookmarkEnd w:id="138"/>
      <w:bookmarkEnd w:id="139"/>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w:t>
      </w:r>
      <w:r>
        <w:rPr>
          <w:rFonts w:hint="eastAsia" w:ascii="仿宋_GB2312" w:hAnsi="仿宋_GB2312" w:eastAsia="仿宋_GB2312" w:cs="仿宋_GB2312"/>
          <w:sz w:val="32"/>
          <w:szCs w:val="32"/>
          <w:highlight w:val="none"/>
          <w:lang w:eastAsia="zh"/>
        </w:rPr>
        <w:t>和</w:t>
      </w:r>
      <w:r>
        <w:rPr>
          <w:rFonts w:hint="default" w:ascii="仿宋_GB2312" w:hAnsi="仿宋_GB2312" w:eastAsia="仿宋_GB2312" w:cs="仿宋_GB2312"/>
          <w:sz w:val="32"/>
          <w:szCs w:val="32"/>
          <w:highlight w:val="none"/>
        </w:rPr>
        <w:t>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对本部门内部控制建立与实施</w:t>
      </w:r>
      <w:r>
        <w:rPr>
          <w:rFonts w:hint="eastAsia" w:ascii="仿宋_GB2312" w:hAnsi="仿宋_GB2312" w:eastAsia="仿宋_GB2312" w:cs="仿宋_GB2312"/>
          <w:sz w:val="32"/>
          <w:szCs w:val="32"/>
          <w:highlight w:val="none"/>
          <w:lang w:eastAsia="zh-CN"/>
        </w:rPr>
        <w:t>的整体</w:t>
      </w:r>
      <w:r>
        <w:rPr>
          <w:rFonts w:hint="eastAsia" w:ascii="仿宋_GB2312" w:hAnsi="仿宋_GB2312" w:eastAsia="仿宋_GB2312" w:cs="仿宋_GB2312"/>
          <w:sz w:val="32"/>
          <w:szCs w:val="32"/>
          <w:highlight w:val="none"/>
          <w:lang w:eastAsia="zh"/>
        </w:rPr>
        <w:t>情况开展评价</w:t>
      </w:r>
      <w:r>
        <w:rPr>
          <w:rFonts w:hint="default" w:ascii="仿宋_GB2312" w:hAnsi="仿宋_GB2312" w:eastAsia="仿宋_GB2312" w:cs="仿宋_GB2312"/>
          <w:sz w:val="32"/>
          <w:szCs w:val="32"/>
          <w:highlight w:val="none"/>
        </w:rPr>
        <w:t>，客观公正地进行评</w:t>
      </w:r>
      <w:r>
        <w:rPr>
          <w:rFonts w:hint="eastAsia" w:ascii="仿宋_GB2312" w:hAnsi="仿宋_GB2312" w:eastAsia="仿宋_GB2312" w:cs="仿宋_GB2312"/>
          <w:sz w:val="32"/>
          <w:szCs w:val="32"/>
          <w:highlight w:val="none"/>
          <w:lang w:val="en-US" w:eastAsia="zh-CN"/>
        </w:rPr>
        <w:t>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40" w:name="_Toc550518209"/>
      <w:bookmarkStart w:id="141" w:name="_Toc1913207340"/>
      <w:bookmarkStart w:id="142" w:name="_Toc20475"/>
      <w:bookmarkStart w:id="143" w:name="_Toc454904225"/>
      <w:bookmarkStart w:id="144" w:name="_Toc8276"/>
      <w:r>
        <w:rPr>
          <w:rFonts w:hint="eastAsia" w:ascii="楷体_GB2312" w:hAnsi="楷体_GB2312" w:eastAsia="楷体_GB2312" w:cs="楷体_GB2312"/>
          <w:highlight w:val="none"/>
          <w:lang w:eastAsia="zh"/>
        </w:rPr>
        <w:t>（六）</w:t>
      </w:r>
      <w:r>
        <w:rPr>
          <w:rFonts w:hint="eastAsia" w:ascii="楷体_GB2312" w:hAnsi="楷体_GB2312" w:eastAsia="楷体_GB2312" w:cs="楷体_GB2312"/>
          <w:highlight w:val="none"/>
        </w:rPr>
        <w:t>佐证材料的真实性</w:t>
      </w:r>
      <w:bookmarkEnd w:id="140"/>
      <w:bookmarkEnd w:id="141"/>
      <w:bookmarkEnd w:id="142"/>
      <w:bookmarkEnd w:id="143"/>
      <w:r>
        <w:rPr>
          <w:rFonts w:hint="eastAsia" w:ascii="楷体_GB2312" w:hAnsi="楷体_GB2312" w:eastAsia="楷体_GB2312" w:cs="楷体_GB2312"/>
          <w:sz w:val="32"/>
          <w:szCs w:val="32"/>
          <w:highlight w:val="none"/>
          <w:lang w:val="en-US" w:eastAsia="zh-CN"/>
        </w:rPr>
        <w:t>和相关性</w:t>
      </w:r>
      <w:bookmarkEnd w:id="1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CN"/>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汇总单位参照部门内部控制报告审核内容开展审核工作。</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145" w:name="_Toc2091867633"/>
      <w:bookmarkStart w:id="146" w:name="_Toc1891625082"/>
      <w:bookmarkStart w:id="147" w:name="_Toc11446"/>
      <w:bookmarkStart w:id="148" w:name="_Toc8571"/>
      <w:bookmarkStart w:id="149" w:name="_Toc699575320"/>
      <w:bookmarkStart w:id="150" w:name="_Toc1213"/>
      <w:bookmarkStart w:id="151" w:name="_Toc16022"/>
      <w:r>
        <w:rPr>
          <w:rFonts w:hint="eastAsia" w:ascii="黑体" w:hAnsi="黑体" w:eastAsia="黑体" w:cs="黑体"/>
          <w:b w:val="0"/>
          <w:bCs w:val="0"/>
          <w:highlight w:val="none"/>
          <w:lang w:eastAsia="zh"/>
        </w:rPr>
        <w:t>三、地区汇总</w:t>
      </w:r>
      <w:r>
        <w:rPr>
          <w:rFonts w:hint="eastAsia" w:ascii="黑体" w:hAnsi="黑体" w:eastAsia="黑体" w:cs="黑体"/>
          <w:b w:val="0"/>
          <w:bCs w:val="0"/>
          <w:highlight w:val="none"/>
        </w:rPr>
        <w:t>内部控制报告</w:t>
      </w:r>
      <w:bookmarkEnd w:id="145"/>
      <w:bookmarkEnd w:id="146"/>
      <w:r>
        <w:rPr>
          <w:rFonts w:hint="eastAsia" w:ascii="黑体" w:hAnsi="黑体" w:eastAsia="黑体" w:cs="黑体"/>
          <w:b w:val="0"/>
          <w:bCs w:val="0"/>
          <w:highlight w:val="none"/>
          <w:lang w:eastAsia="zh"/>
        </w:rPr>
        <w:t>审核</w:t>
      </w:r>
      <w:bookmarkEnd w:id="147"/>
      <w:bookmarkEnd w:id="148"/>
      <w:bookmarkEnd w:id="149"/>
      <w:bookmarkEnd w:id="150"/>
      <w:bookmarkEnd w:id="151"/>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52" w:name="_Toc20244"/>
      <w:bookmarkStart w:id="153" w:name="_Toc27856"/>
      <w:bookmarkStart w:id="154" w:name="_Toc1922994627"/>
      <w:bookmarkStart w:id="155" w:name="_Toc1290384858"/>
      <w:bookmarkStart w:id="156" w:name="_Toc883318264"/>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52"/>
      <w:bookmarkEnd w:id="153"/>
      <w:bookmarkEnd w:id="154"/>
      <w:bookmarkEnd w:id="155"/>
      <w:bookmarkEnd w:id="156"/>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eastAsia="zh"/>
        </w:rPr>
        <w:t>地区财政部门</w:t>
      </w:r>
      <w:r>
        <w:rPr>
          <w:rFonts w:hint="default" w:ascii="仿宋_GB2312" w:hAnsi="仿宋_GB2312" w:eastAsia="仿宋_GB2312" w:cs="仿宋_GB2312"/>
          <w:sz w:val="32"/>
          <w:szCs w:val="32"/>
          <w:highlight w:val="none"/>
        </w:rPr>
        <w:t>负责人签字或盖章，并加盖公章</w:t>
      </w:r>
      <w:r>
        <w:rPr>
          <w:rFonts w:hint="default"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57" w:name="_Toc1200087122"/>
      <w:bookmarkStart w:id="158" w:name="_Toc7039"/>
      <w:bookmarkStart w:id="159" w:name="_Toc1274185033"/>
      <w:bookmarkStart w:id="160" w:name="_Toc30158"/>
      <w:bookmarkStart w:id="161" w:name="_Toc135425764"/>
      <w:r>
        <w:rPr>
          <w:rFonts w:hint="eastAsia" w:ascii="楷体_GB2312" w:hAnsi="楷体_GB2312" w:eastAsia="楷体_GB2312" w:cs="楷体_GB2312"/>
          <w:highlight w:val="none"/>
          <w:lang w:eastAsia="zh"/>
        </w:rPr>
        <w:t>（二）基础数据的规范性</w:t>
      </w:r>
      <w:bookmarkEnd w:id="157"/>
      <w:bookmarkEnd w:id="158"/>
      <w:bookmarkEnd w:id="159"/>
      <w:bookmarkEnd w:id="160"/>
      <w:bookmarkEnd w:id="161"/>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eastAsia" w:ascii="仿宋_GB2312" w:hAnsi="仿宋_GB2312" w:eastAsia="仿宋_GB2312" w:cs="仿宋_GB2312"/>
          <w:sz w:val="32"/>
          <w:szCs w:val="32"/>
          <w:highlight w:val="none"/>
          <w:lang w:eastAsia="zh"/>
        </w:rPr>
      </w:pPr>
      <w:bookmarkStart w:id="162" w:name="_Toc1035842108"/>
      <w:bookmarkStart w:id="163" w:name="_Toc703443937"/>
      <w:bookmarkStart w:id="164" w:name="_Toc1276843002"/>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62"/>
      <w:bookmarkEnd w:id="163"/>
      <w:bookmarkEnd w:id="16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地区</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存在“错误型”审核报错，对“警告型”审核报错</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逐条填写说明，对“提示型”审核报错</w:t>
      </w:r>
      <w:r>
        <w:rPr>
          <w:rFonts w:hint="eastAsia" w:ascii="仿宋_GB2312" w:hAnsi="仿宋_GB2312" w:eastAsia="仿宋_GB2312" w:cs="仿宋_GB2312"/>
          <w:sz w:val="32"/>
          <w:szCs w:val="32"/>
          <w:highlight w:val="none"/>
          <w:lang w:eastAsia="zh-CN"/>
        </w:rPr>
        <w:t>应逐项</w:t>
      </w:r>
      <w:r>
        <w:rPr>
          <w:rFonts w:hint="default" w:ascii="仿宋_GB2312" w:hAnsi="仿宋_GB2312" w:eastAsia="仿宋_GB2312" w:cs="仿宋_GB2312"/>
          <w:sz w:val="32"/>
          <w:szCs w:val="32"/>
          <w:highlight w:val="none"/>
        </w:rPr>
        <w:t>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65" w:name="_Toc1996243009"/>
      <w:bookmarkStart w:id="166" w:name="_Toc466950936"/>
      <w:bookmarkStart w:id="167" w:name="_Toc1509479597"/>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基本情况数据准确</w:t>
      </w:r>
      <w:bookmarkEnd w:id="165"/>
      <w:bookmarkEnd w:id="166"/>
      <w:bookmarkEnd w:id="16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w:t>
      </w:r>
      <w:r>
        <w:rPr>
          <w:rFonts w:hint="eastAsia" w:ascii="仿宋_GB2312" w:hAnsi="仿宋_GB2312" w:eastAsia="仿宋_GB2312" w:cs="仿宋_GB2312"/>
          <w:sz w:val="32"/>
          <w:szCs w:val="32"/>
          <w:highlight w:val="none"/>
          <w:lang w:eastAsia="zh-CN"/>
        </w:rPr>
        <w:t>的情况</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还应包括使用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CN"/>
        </w:rPr>
        <w:t>是否按照</w:t>
      </w:r>
      <w:r>
        <w:rPr>
          <w:rFonts w:hint="default" w:ascii="仿宋_GB2312" w:hAnsi="仿宋_GB2312" w:eastAsia="仿宋_GB2312" w:cs="仿宋_GB2312"/>
          <w:sz w:val="32"/>
          <w:szCs w:val="32"/>
          <w:highlight w:val="none"/>
        </w:rPr>
        <w:t>单位预算分级管理的级次选择填列。非预算单位填报“90.非预算单位”。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68" w:name="_Toc762121560"/>
      <w:bookmarkStart w:id="169" w:name="_Toc11483"/>
      <w:bookmarkStart w:id="170" w:name="_Toc1727365598"/>
      <w:bookmarkStart w:id="171" w:name="_Toc27409"/>
      <w:bookmarkStart w:id="172" w:name="_Toc1125037750"/>
      <w:r>
        <w:rPr>
          <w:rFonts w:hint="eastAsia" w:ascii="楷体_GB2312" w:hAnsi="楷体_GB2312" w:eastAsia="楷体_GB2312" w:cs="楷体_GB2312"/>
          <w:b w:val="0"/>
          <w:bCs w:val="0"/>
          <w:highlight w:val="none"/>
          <w:lang w:eastAsia="zh"/>
        </w:rPr>
        <w:t>（三）内部控制报告文本规范性</w:t>
      </w:r>
      <w:bookmarkEnd w:id="168"/>
      <w:bookmarkEnd w:id="169"/>
      <w:bookmarkEnd w:id="170"/>
      <w:bookmarkEnd w:id="171"/>
      <w:bookmarkEnd w:id="172"/>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sz w:val="32"/>
          <w:szCs w:val="32"/>
          <w:highlight w:val="none"/>
          <w:vertAlign w:val="baseline"/>
          <w:lang w:val="en-US"/>
        </w:rPr>
      </w:pPr>
      <w:bookmarkStart w:id="173" w:name="_Toc1395558326"/>
      <w:bookmarkStart w:id="174" w:name="_Toc1852879607"/>
      <w:bookmarkStart w:id="175" w:name="_Toc1452474639"/>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地区内部控制工作开展情况</w:t>
      </w:r>
      <w:bookmarkEnd w:id="173"/>
      <w:bookmarkEnd w:id="174"/>
      <w:bookmarkEnd w:id="175"/>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内部控制工作协调机制的建立与2025年度运行情况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本地区部门间横向协同机制</w:t>
      </w:r>
      <w:r>
        <w:rPr>
          <w:rFonts w:hint="eastAsia" w:ascii="仿宋_GB2312" w:hAnsi="仿宋_GB2312" w:eastAsia="仿宋_GB2312" w:cs="仿宋_GB2312"/>
          <w:sz w:val="32"/>
          <w:szCs w:val="32"/>
          <w:highlight w:val="none"/>
          <w:lang w:val="en-US" w:eastAsia="zh-CN"/>
        </w:rPr>
        <w:t>及</w:t>
      </w:r>
      <w:r>
        <w:rPr>
          <w:rFonts w:hint="default" w:ascii="仿宋_GB2312" w:hAnsi="仿宋_GB2312" w:eastAsia="仿宋_GB2312" w:cs="仿宋_GB2312"/>
          <w:sz w:val="32"/>
          <w:szCs w:val="32"/>
          <w:highlight w:val="none"/>
          <w:lang w:val="en-US" w:eastAsia="zh-CN"/>
        </w:rPr>
        <w:t>上下级纵向联动协调机制的建立与运行等情况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2025年度内部控制工作的组织情况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本地区内部控制相关工作的部署安排、培训、政策指导等</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kern w:val="2"/>
          <w:sz w:val="32"/>
          <w:szCs w:val="32"/>
          <w:highlight w:val="none"/>
          <w:lang w:val="en-US" w:eastAsia="zh" w:bidi="ar"/>
        </w:rPr>
        <w:t>（3）</w:t>
      </w:r>
      <w:r>
        <w:rPr>
          <w:rFonts w:hint="default" w:ascii="仿宋_GB2312" w:hAnsi="仿宋_GB2312" w:eastAsia="仿宋_GB2312" w:cs="仿宋_GB2312"/>
          <w:b w:val="0"/>
          <w:kern w:val="2"/>
          <w:sz w:val="32"/>
          <w:szCs w:val="32"/>
          <w:highlight w:val="none"/>
          <w:lang w:val="en-US" w:eastAsia="zh-CN" w:bidi="ar"/>
        </w:rPr>
        <w:t>2025年度内部控制报告审核情况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vertAlign w:val="baseline"/>
          <w:lang w:val="en-US" w:eastAsia="zh" w:bidi="ar-SA"/>
        </w:rPr>
        <w:t>审核是否有关于</w:t>
      </w:r>
      <w:r>
        <w:rPr>
          <w:rFonts w:hint="default" w:ascii="仿宋_GB2312" w:hAnsi="仿宋_GB2312" w:eastAsia="仿宋_GB2312" w:cs="仿宋_GB2312"/>
          <w:sz w:val="32"/>
          <w:szCs w:val="32"/>
          <w:highlight w:val="none"/>
          <w:lang w:val="en-US" w:eastAsia="zh-CN"/>
        </w:rPr>
        <w:t>下级财政部门上报的地区汇总内部控制报告、同级部门汇总内部控制报告</w:t>
      </w:r>
      <w:r>
        <w:rPr>
          <w:rFonts w:hint="eastAsia" w:ascii="仿宋_GB2312" w:hAnsi="仿宋_GB2312" w:eastAsia="仿宋_GB2312" w:cs="仿宋_GB2312"/>
          <w:sz w:val="32"/>
          <w:szCs w:val="32"/>
          <w:highlight w:val="none"/>
          <w:lang w:val="en-US" w:eastAsia="zh"/>
        </w:rPr>
        <w:t>进行</w:t>
      </w:r>
      <w:r>
        <w:rPr>
          <w:rFonts w:hint="default"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，包括内部控制报告的规范性与完整性、内部控制评价结果的客观性与准确性、佐证材料的真实性与相关性等。开展现场核查的，</w:t>
      </w:r>
      <w:r>
        <w:rPr>
          <w:rFonts w:hint="eastAsia" w:ascii="仿宋_GB2312" w:hAnsi="仿宋_GB2312" w:eastAsia="仿宋_GB2312" w:cs="仿宋_GB2312"/>
          <w:sz w:val="32"/>
          <w:szCs w:val="32"/>
          <w:highlight w:val="none"/>
          <w:lang w:val="en-US" w:eastAsia="zh"/>
        </w:rPr>
        <w:t>应有</w:t>
      </w:r>
      <w:r>
        <w:rPr>
          <w:rFonts w:hint="default" w:ascii="仿宋_GB2312" w:hAnsi="仿宋_GB2312" w:eastAsia="仿宋_GB2312" w:cs="仿宋_GB2312"/>
          <w:sz w:val="32"/>
          <w:szCs w:val="32"/>
          <w:highlight w:val="none"/>
          <w:lang w:val="en-US" w:eastAsia="zh-CN"/>
        </w:rPr>
        <w:t>现场核查情况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（4）</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2025年度内部控制工作的监督情况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对同级部门及所属单位内部控制的建立实施与评价等工作开展的监督情况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，包括监督的方式、范围、发现的问题及整改情况等。</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bidi="ar"/>
        </w:rPr>
      </w:pPr>
      <w:r>
        <w:rPr>
          <w:rFonts w:hint="eastAsia" w:ascii="仿宋_GB2312" w:hAnsi="仿宋_GB2312" w:eastAsia="仿宋_GB2312" w:cs="仿宋_GB2312"/>
          <w:b w:val="0"/>
          <w:kern w:val="2"/>
          <w:sz w:val="32"/>
          <w:szCs w:val="32"/>
          <w:highlight w:val="none"/>
          <w:lang w:val="en-US" w:eastAsia="zh" w:bidi="ar"/>
        </w:rPr>
        <w:t>（5）</w:t>
      </w:r>
      <w:r>
        <w:rPr>
          <w:rFonts w:hint="default" w:ascii="仿宋_GB2312" w:hAnsi="仿宋_GB2312" w:eastAsia="仿宋_GB2312" w:cs="仿宋_GB2312"/>
          <w:b w:val="0"/>
          <w:kern w:val="2"/>
          <w:sz w:val="32"/>
          <w:szCs w:val="32"/>
          <w:highlight w:val="none"/>
          <w:lang w:val="en-US" w:eastAsia="zh-CN" w:bidi="ar"/>
        </w:rPr>
        <w:t>2025年度内部控制结果的应用情况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审核是否有对</w:t>
      </w:r>
      <w:r>
        <w:rPr>
          <w:rFonts w:hint="default" w:ascii="仿宋_GB2312" w:hAnsi="仿宋_GB2312" w:eastAsia="仿宋_GB2312" w:cs="仿宋_GB2312"/>
          <w:sz w:val="32"/>
          <w:szCs w:val="32"/>
          <w:highlight w:val="none"/>
          <w:lang w:val="en-US" w:eastAsia="zh-CN"/>
        </w:rPr>
        <w:t>内部控制结果在本地区预算管理、绩效考核、监督问责等方面的应用情况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kern w:val="2"/>
          <w:sz w:val="32"/>
          <w:szCs w:val="32"/>
          <w:highlight w:val="none"/>
          <w:vertAlign w:val="baseline"/>
          <w:lang w:val="en-US" w:eastAsia="zh-CN" w:bidi="ar"/>
        </w:rPr>
      </w:pPr>
      <w:bookmarkStart w:id="176" w:name="_Toc616965286"/>
      <w:bookmarkStart w:id="177" w:name="_Toc2000100783"/>
      <w:bookmarkStart w:id="178" w:name="_Toc1103366142"/>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地区所属单位内部控制工作汇总情况</w:t>
      </w:r>
      <w:bookmarkEnd w:id="176"/>
      <w:bookmarkEnd w:id="177"/>
      <w:bookmarkEnd w:id="178"/>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CN" w:bidi="ar"/>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审核系统生成内容与</w:t>
      </w:r>
      <w:r>
        <w:rPr>
          <w:rFonts w:hint="default" w:ascii="仿宋_GB2312" w:hAnsi="仿宋_GB2312" w:eastAsia="仿宋_GB2312" w:cs="仿宋_GB2312"/>
          <w:kern w:val="2"/>
          <w:sz w:val="32"/>
          <w:szCs w:val="32"/>
          <w:highlight w:val="none"/>
          <w:vertAlign w:val="baseline"/>
          <w:lang w:val="en-US" w:eastAsia="zh" w:bidi="ar-SA"/>
        </w:rPr>
        <w:t>所属单位</w:t>
      </w:r>
      <w:r>
        <w:rPr>
          <w:rFonts w:hint="eastAsia" w:ascii="仿宋_GB2312" w:hAnsi="仿宋_GB2312" w:eastAsia="仿宋_GB2312" w:cs="仿宋_GB2312"/>
          <w:kern w:val="2"/>
          <w:sz w:val="32"/>
          <w:szCs w:val="32"/>
          <w:highlight w:val="none"/>
          <w:vertAlign w:val="baseline"/>
          <w:lang w:val="en-US" w:eastAsia="zh" w:bidi="ar-SA"/>
        </w:rPr>
        <w:t>实际情况是否一致</w:t>
      </w:r>
      <w:r>
        <w:rPr>
          <w:rFonts w:hint="default" w:ascii="仿宋_GB2312" w:hAnsi="仿宋_GB2312" w:eastAsia="仿宋_GB2312" w:cs="仿宋_GB2312"/>
          <w:kern w:val="2"/>
          <w:sz w:val="32"/>
          <w:szCs w:val="32"/>
          <w:highlight w:val="none"/>
          <w:vertAlign w:val="baseline"/>
          <w:lang w:val="en-US" w:eastAsia="zh-CN" w:bidi="ar-SA"/>
        </w:rPr>
        <w:t>。</w:t>
      </w:r>
      <w:r>
        <w:rPr>
          <w:rFonts w:hint="default" w:ascii="仿宋_GB2312" w:hAnsi="仿宋_GB2312" w:eastAsia="仿宋_GB2312" w:cs="仿宋_GB2312"/>
          <w:kern w:val="2"/>
          <w:sz w:val="32"/>
          <w:szCs w:val="32"/>
          <w:highlight w:val="none"/>
          <w:lang w:val="en-US" w:eastAsia="zh-CN" w:bidi="ar"/>
        </w:rPr>
        <w:t xml:space="preserve"> </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审核是否有关于地区在</w:t>
      </w:r>
      <w:r>
        <w:rPr>
          <w:rFonts w:hint="default" w:ascii="仿宋_GB2312" w:hAnsi="Calibri" w:eastAsia="仿宋_GB2312" w:cs="仿宋_GB2312"/>
          <w:kern w:val="2"/>
          <w:sz w:val="32"/>
          <w:szCs w:val="32"/>
          <w:lang w:val="en-US" w:eastAsia="zh-CN" w:bidi="ar"/>
        </w:rPr>
        <w:t>组织推动所属单位开展内部控制工作过程中</w:t>
      </w:r>
      <w:r>
        <w:rPr>
          <w:rFonts w:hint="eastAsia" w:ascii="仿宋_GB2312" w:hAnsi="Calibri" w:eastAsia="仿宋_GB2312" w:cs="仿宋_GB2312"/>
          <w:kern w:val="2"/>
          <w:sz w:val="32"/>
          <w:szCs w:val="32"/>
          <w:lang w:val="en-US" w:eastAsia="zh" w:bidi="ar"/>
        </w:rPr>
        <w:t>，</w:t>
      </w:r>
      <w:r>
        <w:rPr>
          <w:rFonts w:hint="default" w:ascii="仿宋_GB2312" w:hAnsi="Calibri" w:eastAsia="仿宋_GB2312" w:cs="仿宋_GB2312"/>
          <w:kern w:val="2"/>
          <w:sz w:val="32"/>
          <w:szCs w:val="32"/>
          <w:lang w:val="en-US" w:eastAsia="zh-CN" w:bidi="ar"/>
        </w:rPr>
        <w:t>总结出的有关经验做法和取得成效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 w:bidi="ar"/>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对行政事业单位内部控制建设与实施、内部控制评价、内部控制报告编报等工作</w:t>
      </w:r>
      <w:r>
        <w:rPr>
          <w:rFonts w:hint="eastAsia" w:ascii="仿宋_GB2312" w:hAnsi="Calibri" w:eastAsia="仿宋_GB2312" w:cs="仿宋_GB2312"/>
          <w:kern w:val="2"/>
          <w:sz w:val="32"/>
          <w:szCs w:val="32"/>
          <w:lang w:val="en-US" w:eastAsia="zh" w:bidi="ar"/>
        </w:rPr>
        <w:t>提出</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79" w:name="_Toc155186055"/>
      <w:bookmarkStart w:id="180" w:name="_Toc986625094"/>
      <w:bookmarkStart w:id="181" w:name="_Toc99368402"/>
      <w:bookmarkStart w:id="182" w:name="_Toc29246"/>
      <w:bookmarkStart w:id="183" w:name="_Toc7904"/>
      <w:r>
        <w:rPr>
          <w:rFonts w:hint="eastAsia" w:ascii="楷体_GB2312" w:hAnsi="楷体_GB2312" w:eastAsia="楷体_GB2312" w:cs="楷体_GB2312"/>
          <w:b w:val="0"/>
          <w:bCs w:val="0"/>
          <w:highlight w:val="none"/>
          <w:lang w:eastAsia="zh"/>
        </w:rPr>
        <w:t>（</w:t>
      </w:r>
      <w:r>
        <w:rPr>
          <w:rFonts w:hint="eastAsia" w:ascii="楷体_GB2312" w:hAnsi="楷体_GB2312" w:eastAsia="楷体_GB2312" w:cs="楷体_GB2312"/>
          <w:b w:val="0"/>
          <w:bCs w:val="0"/>
          <w:highlight w:val="none"/>
          <w:lang w:eastAsia="zh-CN"/>
        </w:rPr>
        <w:t>四</w:t>
      </w:r>
      <w:r>
        <w:rPr>
          <w:rFonts w:hint="eastAsia" w:ascii="楷体_GB2312" w:hAnsi="楷体_GB2312" w:eastAsia="楷体_GB2312" w:cs="楷体_GB2312"/>
          <w:b w:val="0"/>
          <w:bCs w:val="0"/>
          <w:highlight w:val="none"/>
          <w:lang w:eastAsia="zh"/>
        </w:rPr>
        <w:t>）</w:t>
      </w:r>
      <w:r>
        <w:rPr>
          <w:rFonts w:hint="default" w:ascii="楷体_GB2312" w:hAnsi="楷体_GB2312" w:eastAsia="楷体_GB2312" w:cs="楷体_GB2312"/>
          <w:b w:val="0"/>
          <w:bCs w:val="0"/>
          <w:highlight w:val="none"/>
          <w:lang w:eastAsia="zh"/>
        </w:rPr>
        <w:t>佐证材料</w:t>
      </w:r>
      <w:r>
        <w:rPr>
          <w:rFonts w:hint="eastAsia" w:ascii="楷体_GB2312" w:hAnsi="楷体_GB2312" w:eastAsia="楷体_GB2312" w:cs="楷体_GB2312"/>
          <w:b w:val="0"/>
          <w:bCs w:val="0"/>
          <w:highlight w:val="none"/>
          <w:lang w:eastAsia="zh-CN"/>
        </w:rPr>
        <w:t>的</w:t>
      </w:r>
      <w:r>
        <w:rPr>
          <w:rFonts w:hint="eastAsia" w:ascii="楷体_GB2312" w:hAnsi="楷体_GB2312" w:eastAsia="楷体_GB2312" w:cs="楷体_GB2312"/>
          <w:highlight w:val="none"/>
        </w:rPr>
        <w:t>真实性</w:t>
      </w:r>
      <w:r>
        <w:rPr>
          <w:rFonts w:hint="eastAsia" w:ascii="楷体_GB2312" w:hAnsi="楷体_GB2312" w:eastAsia="楷体_GB2312" w:cs="楷体_GB2312"/>
          <w:sz w:val="32"/>
          <w:szCs w:val="32"/>
          <w:highlight w:val="none"/>
          <w:lang w:val="en-US" w:eastAsia="zh-CN"/>
        </w:rPr>
        <w:t>和相关性</w:t>
      </w:r>
      <w:bookmarkEnd w:id="179"/>
      <w:bookmarkEnd w:id="180"/>
      <w:bookmarkEnd w:id="181"/>
      <w:bookmarkEnd w:id="182"/>
      <w:bookmarkEnd w:id="18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本地区</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eastAsia="zh"/>
        </w:rPr>
        <w:t>内部控制</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line="588" w:lineRule="exact"/>
        <w:jc w:val="both"/>
        <w:rPr>
          <w:rFonts w:hint="eastAsia" w:ascii="仿宋_GB2312" w:hAnsi="仿宋_GB2312" w:eastAsia="仿宋_GB2312" w:cs="仿宋_GB2312"/>
          <w:sz w:val="32"/>
          <w:szCs w:val="32"/>
          <w:highlight w:val="none"/>
          <w:lang w:eastAsia="zh"/>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文泉驿正黑">
    <w:altName w:val="黑体"/>
    <w:panose1 w:val="02000603000000000000"/>
    <w:charset w:val="86"/>
    <w:family w:val="auto"/>
    <w:pitch w:val="default"/>
    <w:sig w:usb0="00000000" w:usb1="00000000" w:usb2="00000036" w:usb3="00000000" w:csb0="603E000D" w:csb1="D2D7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56AF2"/>
    <w:multiLevelType w:val="multilevel"/>
    <w:tmpl w:val="5E856AF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val="0"/>
        <w:bCs/>
      </w:r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51AE8"/>
    <w:rsid w:val="04AE18D1"/>
    <w:rsid w:val="07267E44"/>
    <w:rsid w:val="0FE73090"/>
    <w:rsid w:val="10763B65"/>
    <w:rsid w:val="1ADACF06"/>
    <w:rsid w:val="1BCF00DC"/>
    <w:rsid w:val="1F6FBB44"/>
    <w:rsid w:val="1F7678EE"/>
    <w:rsid w:val="1FA792AA"/>
    <w:rsid w:val="1FEB19D6"/>
    <w:rsid w:val="1FFF68BF"/>
    <w:rsid w:val="25706A02"/>
    <w:rsid w:val="294361DC"/>
    <w:rsid w:val="2E7F0BB0"/>
    <w:rsid w:val="2E886A64"/>
    <w:rsid w:val="2F774F1D"/>
    <w:rsid w:val="339B5B70"/>
    <w:rsid w:val="35073BBB"/>
    <w:rsid w:val="35FE9817"/>
    <w:rsid w:val="3620275C"/>
    <w:rsid w:val="383D5993"/>
    <w:rsid w:val="39D77B13"/>
    <w:rsid w:val="3BF3656F"/>
    <w:rsid w:val="3C6C418F"/>
    <w:rsid w:val="3CA8DFA1"/>
    <w:rsid w:val="3CE84C78"/>
    <w:rsid w:val="3D5F61CA"/>
    <w:rsid w:val="3DAC5CA6"/>
    <w:rsid w:val="3DBF4C18"/>
    <w:rsid w:val="3E375B60"/>
    <w:rsid w:val="3FBB0422"/>
    <w:rsid w:val="3FBE456D"/>
    <w:rsid w:val="3FFA2E0F"/>
    <w:rsid w:val="3FFDF89A"/>
    <w:rsid w:val="424D1C6F"/>
    <w:rsid w:val="43EF875D"/>
    <w:rsid w:val="47E0504E"/>
    <w:rsid w:val="48D579DC"/>
    <w:rsid w:val="4BF17BA6"/>
    <w:rsid w:val="4D0E4287"/>
    <w:rsid w:val="4EF15055"/>
    <w:rsid w:val="52ED0B12"/>
    <w:rsid w:val="5677075A"/>
    <w:rsid w:val="56FD7B02"/>
    <w:rsid w:val="57EE286A"/>
    <w:rsid w:val="5A5F21D3"/>
    <w:rsid w:val="5B71AF54"/>
    <w:rsid w:val="5BFFA881"/>
    <w:rsid w:val="5F7C4DE2"/>
    <w:rsid w:val="5FBF771E"/>
    <w:rsid w:val="5FFE830F"/>
    <w:rsid w:val="63BF7435"/>
    <w:rsid w:val="64F5183E"/>
    <w:rsid w:val="66BB0F64"/>
    <w:rsid w:val="67DB4117"/>
    <w:rsid w:val="69FFA3F9"/>
    <w:rsid w:val="6AFDA1FF"/>
    <w:rsid w:val="6BAFC1D7"/>
    <w:rsid w:val="6C351AE8"/>
    <w:rsid w:val="6DFC2BC8"/>
    <w:rsid w:val="6EDB1060"/>
    <w:rsid w:val="6EFBECFF"/>
    <w:rsid w:val="6F4B6208"/>
    <w:rsid w:val="6F777441"/>
    <w:rsid w:val="6F7DDEF3"/>
    <w:rsid w:val="6FFD8186"/>
    <w:rsid w:val="71AD151E"/>
    <w:rsid w:val="73C0106A"/>
    <w:rsid w:val="75F71519"/>
    <w:rsid w:val="75FF70ED"/>
    <w:rsid w:val="75FFF6E0"/>
    <w:rsid w:val="77AD0DAD"/>
    <w:rsid w:val="77BABA0E"/>
    <w:rsid w:val="77DFAEF9"/>
    <w:rsid w:val="77E5B2F0"/>
    <w:rsid w:val="7AFFD44A"/>
    <w:rsid w:val="7B4EB24E"/>
    <w:rsid w:val="7B6F2FF0"/>
    <w:rsid w:val="7B7FD6EF"/>
    <w:rsid w:val="7BEFBC16"/>
    <w:rsid w:val="7BFB0901"/>
    <w:rsid w:val="7BFDD75A"/>
    <w:rsid w:val="7D5FF30F"/>
    <w:rsid w:val="7DDC8427"/>
    <w:rsid w:val="7DFB2E7D"/>
    <w:rsid w:val="7DFF9F6F"/>
    <w:rsid w:val="7E3FF06A"/>
    <w:rsid w:val="7E78C94B"/>
    <w:rsid w:val="7E7B10CE"/>
    <w:rsid w:val="7EFF4263"/>
    <w:rsid w:val="7F3F56E2"/>
    <w:rsid w:val="7F5728AD"/>
    <w:rsid w:val="7F7EAB33"/>
    <w:rsid w:val="7FAFDACE"/>
    <w:rsid w:val="7FBA50E5"/>
    <w:rsid w:val="7FEFA7A8"/>
    <w:rsid w:val="7FF73DB8"/>
    <w:rsid w:val="7FF78601"/>
    <w:rsid w:val="7FFA4A65"/>
    <w:rsid w:val="7FFBEBA4"/>
    <w:rsid w:val="7FFDD4A1"/>
    <w:rsid w:val="852F010D"/>
    <w:rsid w:val="997EEDAC"/>
    <w:rsid w:val="9BDF4B3A"/>
    <w:rsid w:val="9DBF259C"/>
    <w:rsid w:val="9FED5530"/>
    <w:rsid w:val="A33B6B7D"/>
    <w:rsid w:val="A7939F85"/>
    <w:rsid w:val="A7F1287D"/>
    <w:rsid w:val="A8EF026F"/>
    <w:rsid w:val="A9EF4807"/>
    <w:rsid w:val="AE3B754D"/>
    <w:rsid w:val="AFFF200C"/>
    <w:rsid w:val="B11E8C97"/>
    <w:rsid w:val="B3377A9E"/>
    <w:rsid w:val="B4E50E80"/>
    <w:rsid w:val="B6DD952C"/>
    <w:rsid w:val="B777DD00"/>
    <w:rsid w:val="B77F306E"/>
    <w:rsid w:val="BBFD2B8A"/>
    <w:rsid w:val="BCDC2EF8"/>
    <w:rsid w:val="BDF7BD5B"/>
    <w:rsid w:val="BDFFEEFB"/>
    <w:rsid w:val="BEFFB2A1"/>
    <w:rsid w:val="BFBCDC40"/>
    <w:rsid w:val="BFBF38D0"/>
    <w:rsid w:val="BFEE584D"/>
    <w:rsid w:val="BFF5270D"/>
    <w:rsid w:val="BFF7E5D6"/>
    <w:rsid w:val="BFFBEE5C"/>
    <w:rsid w:val="BFFFF32F"/>
    <w:rsid w:val="C6D5B9F0"/>
    <w:rsid w:val="CF390C98"/>
    <w:rsid w:val="D71F110C"/>
    <w:rsid w:val="D76C4A9F"/>
    <w:rsid w:val="D7D55FC3"/>
    <w:rsid w:val="DAFFFA67"/>
    <w:rsid w:val="DDF70CC4"/>
    <w:rsid w:val="DEF09D22"/>
    <w:rsid w:val="DEFFEA11"/>
    <w:rsid w:val="DF0B36C2"/>
    <w:rsid w:val="DFF466BF"/>
    <w:rsid w:val="E6FD339B"/>
    <w:rsid w:val="E7EDBCC4"/>
    <w:rsid w:val="EABBECD4"/>
    <w:rsid w:val="EDEF21B4"/>
    <w:rsid w:val="EE6F6AD9"/>
    <w:rsid w:val="EEB7BC64"/>
    <w:rsid w:val="EEEF8DEF"/>
    <w:rsid w:val="EF51F1CD"/>
    <w:rsid w:val="EFF3F1FF"/>
    <w:rsid w:val="F1DE4E1E"/>
    <w:rsid w:val="F3EF5EEE"/>
    <w:rsid w:val="F6BECF44"/>
    <w:rsid w:val="F7FFECDA"/>
    <w:rsid w:val="F8705176"/>
    <w:rsid w:val="F94E6F24"/>
    <w:rsid w:val="F97F66EB"/>
    <w:rsid w:val="FABBB32D"/>
    <w:rsid w:val="FAC6F6B4"/>
    <w:rsid w:val="FAFFB5A3"/>
    <w:rsid w:val="FB5F2E8C"/>
    <w:rsid w:val="FB9A80B7"/>
    <w:rsid w:val="FBD9A771"/>
    <w:rsid w:val="FCF7581F"/>
    <w:rsid w:val="FCFFB9C3"/>
    <w:rsid w:val="FD37462D"/>
    <w:rsid w:val="FDDFB79D"/>
    <w:rsid w:val="FE2A8B03"/>
    <w:rsid w:val="FEF70D7C"/>
    <w:rsid w:val="FEFB3C4C"/>
    <w:rsid w:val="FF4ED8B8"/>
    <w:rsid w:val="FF604C20"/>
    <w:rsid w:val="FF678F34"/>
    <w:rsid w:val="FFB7964F"/>
    <w:rsid w:val="FFDEA0FE"/>
    <w:rsid w:val="FFED2891"/>
    <w:rsid w:val="FFF6510C"/>
    <w:rsid w:val="FFFA03EC"/>
    <w:rsid w:val="FFFBD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numPr>
        <w:ilvl w:val="0"/>
        <w:numId w:val="1"/>
      </w:numPr>
      <w:ind w:firstLine="0" w:firstLineChars="0"/>
      <w:outlineLvl w:val="0"/>
    </w:pPr>
    <w:rPr>
      <w:b/>
      <w:bCs/>
      <w:kern w:val="44"/>
      <w:sz w:val="32"/>
      <w:szCs w:val="32"/>
    </w:rPr>
  </w:style>
  <w:style w:type="paragraph" w:styleId="3">
    <w:name w:val="heading 2"/>
    <w:basedOn w:val="1"/>
    <w:next w:val="1"/>
    <w:unhideWhenUsed/>
    <w:qFormat/>
    <w:uiPriority w:val="9"/>
    <w:pPr>
      <w:keepNext/>
      <w:keepLines/>
      <w:widowControl w:val="0"/>
      <w:numPr>
        <w:ilvl w:val="1"/>
        <w:numId w:val="1"/>
      </w:numPr>
      <w:spacing w:before="120" w:after="120"/>
      <w:ind w:firstLine="0" w:firstLineChars="0"/>
      <w:outlineLvl w:val="1"/>
    </w:pPr>
    <w:rPr>
      <w:bCs/>
      <w:kern w:val="2"/>
      <w:sz w:val="32"/>
      <w:szCs w:val="32"/>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jc w:val="left"/>
      <w:outlineLvl w:val="2"/>
    </w:pPr>
    <w:rPr>
      <w:rFonts w:eastAsia="楷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ind w:firstLine="0" w:firstLineChars="0"/>
      <w:outlineLvl w:val="4"/>
    </w:pPr>
    <w:rPr>
      <w:sz w:val="32"/>
      <w:szCs w:val="32"/>
    </w:rPr>
  </w:style>
  <w:style w:type="character" w:default="1" w:styleId="16">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160" w:afterAutospacing="0" w:line="276" w:lineRule="auto"/>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21"/>
    <w:qFormat/>
    <w:uiPriority w:val="0"/>
    <w:pPr>
      <w:keepNext w:val="0"/>
      <w:keepLines w:val="0"/>
      <w:widowControl w:val="0"/>
      <w:suppressLineNumbers w:val="0"/>
      <w:spacing w:before="0" w:beforeAutospacing="0" w:after="160" w:afterAutospacing="0" w:line="276" w:lineRule="auto"/>
      <w:ind w:left="0" w:right="0"/>
      <w:jc w:val="both"/>
    </w:pPr>
    <w:rPr>
      <w:rFonts w:hint="default" w:ascii="Calibri" w:hAnsi="Calibri" w:eastAsia="宋体" w:cs="Times New Roman"/>
      <w:kern w:val="0"/>
      <w:sz w:val="21"/>
      <w:szCs w:val="24"/>
      <w:lang w:val="en-US" w:eastAsia="zh-CN" w:bidi="ar"/>
    </w:rPr>
  </w:style>
  <w:style w:type="paragraph" w:styleId="9">
    <w:name w:val="Title"/>
    <w:basedOn w:val="1"/>
    <w:next w:val="1"/>
    <w:link w:val="22"/>
    <w:qFormat/>
    <w:uiPriority w:val="0"/>
    <w:pPr>
      <w:spacing w:before="240" w:beforeAutospacing="0" w:after="60" w:afterAutospacing="0" w:line="360" w:lineRule="auto"/>
      <w:ind w:firstLine="560" w:firstLineChars="200"/>
      <w:jc w:val="center"/>
      <w:outlineLvl w:val="0"/>
    </w:pPr>
    <w:rPr>
      <w:rFonts w:hint="default" w:ascii="Calibri Light" w:hAnsi="Calibri Light" w:eastAsia="等线 Light" w:cs="Times New Roman"/>
      <w:b/>
      <w:bCs/>
      <w:kern w:val="0"/>
      <w:sz w:val="32"/>
      <w:szCs w:val="32"/>
      <w:lang w:val="en-US" w:eastAsia="zh-CN" w:bidi="ar"/>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8">
    <w:name w:val="15"/>
    <w:basedOn w:val="16"/>
    <w:qFormat/>
    <w:uiPriority w:val="0"/>
    <w:rPr>
      <w:rFonts w:hint="default" w:ascii="Times New Roman" w:hAnsi="Times New Roman" w:cs="Times New Roman"/>
    </w:rPr>
  </w:style>
  <w:style w:type="character" w:customStyle="1" w:styleId="19">
    <w:name w:val="10"/>
    <w:basedOn w:val="16"/>
    <w:qFormat/>
    <w:uiPriority w:val="0"/>
    <w:rPr>
      <w:rFonts w:hint="default" w:ascii="Times New Roman" w:hAnsi="Times New Roman" w:cs="Times New Roman"/>
    </w:rPr>
  </w:style>
  <w:style w:type="paragraph" w:customStyle="1" w:styleId="20">
    <w:name w:val="msolistparagraph"/>
    <w:basedOn w:val="1"/>
    <w:qFormat/>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21">
    <w:name w:val="正文文本 字符"/>
    <w:basedOn w:val="16"/>
    <w:link w:val="8"/>
    <w:qFormat/>
    <w:uiPriority w:val="0"/>
    <w:rPr>
      <w:rFonts w:hint="default" w:ascii="Calibri" w:hAnsi="Calibri" w:eastAsia="宋体" w:cs="Times New Roman"/>
      <w:sz w:val="21"/>
      <w:szCs w:val="24"/>
    </w:rPr>
  </w:style>
  <w:style w:type="character" w:customStyle="1" w:styleId="22">
    <w:name w:val="标题 字符"/>
    <w:basedOn w:val="16"/>
    <w:link w:val="9"/>
    <w:qFormat/>
    <w:uiPriority w:val="0"/>
    <w:rPr>
      <w:rFonts w:ascii="Calibri Light" w:hAnsi="Calibri Light" w:eastAsia="宋体" w:cs="Times New Roman"/>
      <w:spacing w:val="-10"/>
      <w:kern w:val="28"/>
      <w:sz w:val="56"/>
      <w:szCs w:val="56"/>
    </w:rPr>
  </w:style>
  <w:style w:type="character" w:customStyle="1" w:styleId="23">
    <w:name w:val="标题 3 Char"/>
    <w:link w:val="4"/>
    <w:qFormat/>
    <w:uiPriority w:val="0"/>
    <w:rPr>
      <w:rFonts w:eastAsia="楷体"/>
      <w:b/>
      <w:sz w:val="32"/>
    </w:rPr>
  </w:style>
  <w:style w:type="character" w:customStyle="1" w:styleId="24">
    <w:name w:val="正文 Cha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3090</Words>
  <Characters>3195</Characters>
  <Lines>1</Lines>
  <Paragraphs>1</Paragraphs>
  <ScaleCrop>false</ScaleCrop>
  <LinksUpToDate>false</LinksUpToDate>
  <CharactersWithSpaces>3274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2026-01-27T01:50:00Z</dcterms:created>
  <dc:creator>南枝</dc:creator>
  <cp:lastModifiedBy>徐正坤</cp:lastModifiedBy>
  <dcterms:modified xsi:type="dcterms:W3CDTF">2026-02-14T03:15:50Z</dcterms:modified>
  <dc:title>2025年度行政事业单位内部控制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DD87991324DF4622A9BE4CF740B12BFF_13</vt:lpwstr>
  </property>
  <property fmtid="{D5CDD505-2E9C-101B-9397-08002B2CF9AE}" pid="4" name="KSOTemplateDocerSaveRecord">
    <vt:lpwstr>eyJoZGlkIjoiNDE3ZmMzMGUzMWZiZWU0MTRlOWVkNGUyMzIzZTU0YTEiLCJ1c2VySWQiOiIxMjg5NDQ5MDU3In0=</vt:lpwstr>
  </property>
</Properties>
</file>