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FF30E">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both"/>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附件1</w:t>
      </w:r>
    </w:p>
    <w:p w14:paraId="667A5075">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6D4C43DB">
      <w:pPr>
        <w:keepNext w:val="0"/>
        <w:keepLines w:val="0"/>
        <w:pageBreakBefore w:val="0"/>
        <w:widowControl w:val="0"/>
        <w:kinsoku/>
        <w:wordWrap/>
        <w:overflowPunct/>
        <w:topLinePunct w:val="0"/>
        <w:bidi w:val="0"/>
        <w:snapToGrid w:val="0"/>
        <w:spacing w:line="600" w:lineRule="exact"/>
        <w:ind w:left="0" w:leftChars="0" w:firstLine="0" w:firstLineChars="0"/>
        <w:jc w:val="center"/>
        <w:textAlignment w:val="auto"/>
        <w:rPr>
          <w:rFonts w:hint="eastAsia" w:ascii="方正小标宋简体" w:hAnsi="宋体" w:eastAsia="方正小标宋简体"/>
          <w:color w:val="auto"/>
          <w:sz w:val="44"/>
          <w:szCs w:val="44"/>
        </w:rPr>
      </w:pPr>
      <w:bookmarkStart w:id="0" w:name="_GoBack"/>
      <w:r>
        <w:rPr>
          <w:rFonts w:hint="eastAsia" w:ascii="方正小标宋简体" w:hAnsi="宋体" w:eastAsia="方正小标宋简体"/>
          <w:color w:val="auto"/>
          <w:sz w:val="44"/>
          <w:szCs w:val="44"/>
        </w:rPr>
        <w:t>山东省水土保持补偿费征收管理办法</w:t>
      </w:r>
    </w:p>
    <w:bookmarkEnd w:id="0"/>
    <w:p w14:paraId="059E3313">
      <w:pPr>
        <w:keepNext w:val="0"/>
        <w:keepLines w:val="0"/>
        <w:pageBreakBefore w:val="0"/>
        <w:widowControl w:val="0"/>
        <w:kinsoku/>
        <w:wordWrap/>
        <w:overflowPunct/>
        <w:topLinePunct w:val="0"/>
        <w:bidi w:val="0"/>
        <w:snapToGrid w:val="0"/>
        <w:spacing w:line="600" w:lineRule="exact"/>
        <w:ind w:left="0" w:leftChars="0" w:firstLine="0" w:firstLineChars="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pacing w:val="-11"/>
          <w:sz w:val="32"/>
          <w:szCs w:val="32"/>
        </w:rPr>
        <w:t>（征求意见稿）</w:t>
      </w:r>
    </w:p>
    <w:p w14:paraId="7D6C9A56">
      <w:pPr>
        <w:keepNext w:val="0"/>
        <w:keepLines w:val="0"/>
        <w:pageBreakBefore w:val="0"/>
        <w:widowControl w:val="0"/>
        <w:kinsoku/>
        <w:wordWrap/>
        <w:overflowPunct/>
        <w:topLinePunct w:val="0"/>
        <w:bidi w:val="0"/>
        <w:snapToGrid w:val="0"/>
        <w:spacing w:line="600" w:lineRule="exact"/>
        <w:ind w:left="0" w:leftChars="0" w:firstLine="0" w:firstLineChars="0"/>
        <w:jc w:val="center"/>
        <w:textAlignment w:val="auto"/>
        <w:rPr>
          <w:rFonts w:hint="eastAsia" w:ascii="黑体" w:hAnsi="黑体" w:eastAsia="黑体"/>
          <w:color w:val="auto"/>
          <w:sz w:val="32"/>
          <w:szCs w:val="32"/>
        </w:rPr>
      </w:pPr>
    </w:p>
    <w:p w14:paraId="693D5A15">
      <w:pPr>
        <w:keepNext w:val="0"/>
        <w:keepLines w:val="0"/>
        <w:pageBreakBefore w:val="0"/>
        <w:widowControl w:val="0"/>
        <w:kinsoku/>
        <w:wordWrap/>
        <w:overflowPunct/>
        <w:topLinePunct w:val="0"/>
        <w:bidi w:val="0"/>
        <w:snapToGrid w:val="0"/>
        <w:spacing w:line="600" w:lineRule="exact"/>
        <w:ind w:left="0" w:leftChars="0" w:firstLine="0" w:firstLineChars="0"/>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第一章  总  则</w:t>
      </w:r>
    </w:p>
    <w:p w14:paraId="15BA324E">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4A0679CB">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第一条  </w:t>
      </w:r>
      <w:r>
        <w:rPr>
          <w:rFonts w:hint="eastAsia" w:ascii="宋体" w:hAnsi="宋体" w:eastAsia="仿宋_GB2312"/>
          <w:color w:val="auto"/>
          <w:sz w:val="32"/>
          <w:szCs w:val="32"/>
        </w:rPr>
        <w:t>为加强水土保持补偿费的征收与管理，推动水土流失防治工作，改善生态环境，根据《中华人民共和国水土保持法》《山东省水土保持条例》《国务院关于印发推进财政资金统筹使用方案的通知》（国发〔2015〕35号）、《财政部</w:t>
      </w:r>
      <w:r>
        <w:rPr>
          <w:rFonts w:hint="eastAsia" w:ascii="宋体" w:hAnsi="宋体" w:eastAsia="仿宋_GB2312"/>
          <w:color w:val="auto"/>
          <w:sz w:val="32"/>
          <w:szCs w:val="32"/>
          <w:lang w:val="en-US" w:eastAsia="zh-CN"/>
        </w:rPr>
        <w:t xml:space="preserve"> </w:t>
      </w:r>
      <w:r>
        <w:rPr>
          <w:rFonts w:hint="eastAsia" w:ascii="宋体" w:hAnsi="宋体" w:eastAsia="仿宋_GB2312"/>
          <w:color w:val="auto"/>
          <w:sz w:val="32"/>
          <w:szCs w:val="32"/>
        </w:rPr>
        <w:t>国家发展改革委</w:t>
      </w:r>
      <w:r>
        <w:rPr>
          <w:rFonts w:hint="eastAsia" w:ascii="宋体" w:hAnsi="宋体" w:eastAsia="仿宋_GB2312"/>
          <w:color w:val="auto"/>
          <w:sz w:val="32"/>
          <w:szCs w:val="32"/>
          <w:lang w:val="en-US" w:eastAsia="zh-CN"/>
        </w:rPr>
        <w:t xml:space="preserve"> </w:t>
      </w:r>
      <w:r>
        <w:rPr>
          <w:rFonts w:hint="eastAsia" w:ascii="宋体" w:hAnsi="宋体" w:eastAsia="仿宋_GB2312"/>
          <w:color w:val="auto"/>
          <w:sz w:val="32"/>
          <w:szCs w:val="32"/>
        </w:rPr>
        <w:t>水利部</w:t>
      </w:r>
      <w:r>
        <w:rPr>
          <w:rFonts w:hint="eastAsia" w:ascii="宋体" w:hAnsi="宋体" w:eastAsia="仿宋_GB2312"/>
          <w:color w:val="auto"/>
          <w:sz w:val="32"/>
          <w:szCs w:val="32"/>
          <w:lang w:val="en-US" w:eastAsia="zh-CN"/>
        </w:rPr>
        <w:t xml:space="preserve"> </w:t>
      </w:r>
      <w:r>
        <w:rPr>
          <w:rFonts w:hint="eastAsia" w:ascii="宋体" w:hAnsi="宋体" w:eastAsia="仿宋_GB2312"/>
          <w:color w:val="auto"/>
          <w:sz w:val="32"/>
          <w:szCs w:val="32"/>
        </w:rPr>
        <w:t>中国人民银行关于印发〈水土保持补偿费征收使用管理办法〉的通知》（财综〔2014〕8号）、《财政部关于水土保持补偿费等四项政府非税收入划转税务部门征收的通知》（财税〔2020〕58号）、《财政部关于修改部分文件条款的通知》（财税〔2023〕9号）等相关规定，结合山东省实际，制定本办法。</w:t>
      </w:r>
    </w:p>
    <w:p w14:paraId="2D9531D1">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第二条  </w:t>
      </w:r>
      <w:r>
        <w:rPr>
          <w:rFonts w:hint="eastAsia" w:ascii="宋体" w:hAnsi="宋体" w:eastAsia="仿宋_GB2312"/>
          <w:color w:val="auto"/>
          <w:sz w:val="32"/>
          <w:szCs w:val="32"/>
        </w:rPr>
        <w:t>水土保持补偿费是对</w:t>
      </w:r>
      <w:r>
        <w:rPr>
          <w:rFonts w:hint="eastAsia" w:ascii="宋体" w:hAnsi="宋体" w:eastAsia="仿宋_GB2312"/>
          <w:color w:val="auto"/>
          <w:sz w:val="32"/>
          <w:szCs w:val="32"/>
          <w:lang w:eastAsia="zh-CN"/>
        </w:rPr>
        <w:t>损坏</w:t>
      </w:r>
      <w:r>
        <w:rPr>
          <w:rFonts w:hint="eastAsia" w:ascii="宋体" w:hAnsi="宋体" w:eastAsia="仿宋_GB2312"/>
          <w:color w:val="auto"/>
          <w:sz w:val="32"/>
          <w:szCs w:val="32"/>
        </w:rPr>
        <w:t>水土保持设施和地貌植被,且</w:t>
      </w:r>
      <w:r>
        <w:rPr>
          <w:rFonts w:hint="eastAsia" w:ascii="宋体" w:hAnsi="宋体" w:eastAsia="仿宋_GB2312"/>
          <w:color w:val="auto"/>
          <w:sz w:val="32"/>
          <w:szCs w:val="32"/>
          <w:lang w:eastAsia="zh-CN"/>
        </w:rPr>
        <w:t>不能</w:t>
      </w:r>
      <w:r>
        <w:rPr>
          <w:rFonts w:hint="eastAsia" w:ascii="宋体" w:hAnsi="宋体" w:eastAsia="仿宋_GB2312"/>
          <w:color w:val="auto"/>
          <w:sz w:val="32"/>
          <w:szCs w:val="32"/>
        </w:rPr>
        <w:t>恢复其原有水土保持功能的生产建设单位和个人,而依法征收</w:t>
      </w:r>
      <w:r>
        <w:rPr>
          <w:rFonts w:hint="eastAsia" w:ascii="宋体" w:hAnsi="宋体" w:eastAsia="仿宋_GB2312"/>
          <w:color w:val="auto"/>
          <w:sz w:val="32"/>
          <w:szCs w:val="32"/>
          <w:lang w:eastAsia="zh-CN"/>
        </w:rPr>
        <w:t>并主要用于水土流失预防治理</w:t>
      </w:r>
      <w:r>
        <w:rPr>
          <w:rFonts w:hint="eastAsia" w:ascii="宋体" w:hAnsi="宋体" w:eastAsia="仿宋_GB2312"/>
          <w:color w:val="auto"/>
          <w:sz w:val="32"/>
          <w:szCs w:val="32"/>
        </w:rPr>
        <w:t>的资金。</w:t>
      </w:r>
    </w:p>
    <w:p w14:paraId="58CAA133">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第三条  </w:t>
      </w:r>
      <w:r>
        <w:rPr>
          <w:rFonts w:hint="eastAsia" w:ascii="宋体" w:hAnsi="宋体" w:eastAsia="仿宋_GB2312"/>
          <w:color w:val="auto"/>
          <w:sz w:val="32"/>
          <w:szCs w:val="32"/>
        </w:rPr>
        <w:t>水土保持补偿费的征收、缴库和管理全过程，应当依法接受财政、发</w:t>
      </w:r>
      <w:r>
        <w:rPr>
          <w:rFonts w:hint="eastAsia" w:ascii="宋体" w:hAnsi="宋体" w:eastAsia="仿宋_GB2312"/>
          <w:color w:val="auto"/>
          <w:sz w:val="32"/>
          <w:szCs w:val="32"/>
          <w:lang w:eastAsia="zh-CN"/>
        </w:rPr>
        <w:t>展</w:t>
      </w:r>
      <w:r>
        <w:rPr>
          <w:rFonts w:hint="eastAsia" w:ascii="宋体" w:hAnsi="宋体" w:eastAsia="仿宋_GB2312"/>
          <w:color w:val="auto"/>
          <w:sz w:val="32"/>
          <w:szCs w:val="32"/>
        </w:rPr>
        <w:t>改</w:t>
      </w:r>
      <w:r>
        <w:rPr>
          <w:rFonts w:hint="eastAsia" w:ascii="宋体" w:hAnsi="宋体" w:eastAsia="仿宋_GB2312"/>
          <w:color w:val="auto"/>
          <w:sz w:val="32"/>
          <w:szCs w:val="32"/>
          <w:lang w:eastAsia="zh-CN"/>
        </w:rPr>
        <w:t>革</w:t>
      </w:r>
      <w:r>
        <w:rPr>
          <w:rFonts w:hint="eastAsia" w:ascii="宋体" w:hAnsi="宋体" w:eastAsia="仿宋_GB2312"/>
          <w:color w:val="auto"/>
          <w:sz w:val="32"/>
          <w:szCs w:val="32"/>
        </w:rPr>
        <w:t>、水利、人民银行等相关部门的监督检查，确保各项操作规范、透明、合规。</w:t>
      </w:r>
    </w:p>
    <w:p w14:paraId="784C416B">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435EAA83">
      <w:pPr>
        <w:keepNext w:val="0"/>
        <w:keepLines w:val="0"/>
        <w:pageBreakBefore w:val="0"/>
        <w:widowControl w:val="0"/>
        <w:kinsoku/>
        <w:wordWrap/>
        <w:overflowPunct/>
        <w:topLinePunct w:val="0"/>
        <w:bidi w:val="0"/>
        <w:snapToGrid w:val="0"/>
        <w:spacing w:line="600" w:lineRule="exact"/>
        <w:ind w:left="0" w:leftChars="0" w:firstLine="0" w:firstLineChars="0"/>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第二章  征  收</w:t>
      </w:r>
    </w:p>
    <w:p w14:paraId="28E9F6DD">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311BBC9A">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第四条  </w:t>
      </w:r>
      <w:r>
        <w:rPr>
          <w:rFonts w:hint="eastAsia" w:ascii="宋体" w:hAnsi="宋体" w:eastAsia="仿宋_GB2312"/>
          <w:color w:val="auto"/>
          <w:sz w:val="32"/>
          <w:szCs w:val="32"/>
        </w:rPr>
        <w:t>凡在本省区域内的山区、丘陵区、风沙区，以及经水土保持规划确</w:t>
      </w:r>
      <w:r>
        <w:rPr>
          <w:rFonts w:hint="eastAsia" w:ascii="宋体" w:hAnsi="宋体" w:eastAsia="仿宋_GB2312"/>
          <w:color w:val="auto"/>
          <w:sz w:val="32"/>
          <w:szCs w:val="32"/>
          <w:lang w:eastAsia="zh-CN"/>
        </w:rPr>
        <w:t>定</w:t>
      </w:r>
      <w:r>
        <w:rPr>
          <w:rFonts w:hint="eastAsia" w:ascii="宋体" w:hAnsi="宋体" w:eastAsia="仿宋_GB2312"/>
          <w:color w:val="auto"/>
          <w:sz w:val="32"/>
          <w:szCs w:val="32"/>
        </w:rPr>
        <w:t>的其他</w:t>
      </w:r>
      <w:r>
        <w:rPr>
          <w:rFonts w:hint="eastAsia" w:ascii="宋体" w:hAnsi="宋体" w:eastAsia="仿宋_GB2312"/>
          <w:color w:val="auto"/>
          <w:sz w:val="32"/>
          <w:szCs w:val="32"/>
          <w:lang w:eastAsia="zh-CN"/>
        </w:rPr>
        <w:t>容</w:t>
      </w:r>
      <w:r>
        <w:rPr>
          <w:rFonts w:hint="eastAsia" w:ascii="宋体" w:hAnsi="宋体" w:eastAsia="仿宋_GB2312"/>
          <w:color w:val="auto"/>
          <w:sz w:val="32"/>
          <w:szCs w:val="32"/>
        </w:rPr>
        <w:t>易发生水土流失的区域，开办生产建设项目或从事其他生产建设活动，对水土保持设施、地貌植被造成损</w:t>
      </w:r>
      <w:r>
        <w:rPr>
          <w:rFonts w:hint="eastAsia" w:ascii="宋体" w:hAnsi="宋体" w:eastAsia="仿宋_GB2312"/>
          <w:color w:val="auto"/>
          <w:sz w:val="32"/>
          <w:szCs w:val="32"/>
          <w:lang w:eastAsia="zh-CN"/>
        </w:rPr>
        <w:t>坏</w:t>
      </w:r>
      <w:r>
        <w:rPr>
          <w:rFonts w:hint="eastAsia" w:ascii="宋体" w:hAnsi="宋体" w:eastAsia="仿宋_GB2312"/>
          <w:color w:val="auto"/>
          <w:sz w:val="32"/>
          <w:szCs w:val="32"/>
        </w:rPr>
        <w:t>，且</w:t>
      </w:r>
      <w:r>
        <w:rPr>
          <w:rFonts w:hint="eastAsia" w:ascii="宋体" w:hAnsi="宋体" w:eastAsia="仿宋_GB2312"/>
          <w:color w:val="auto"/>
          <w:sz w:val="32"/>
          <w:szCs w:val="32"/>
          <w:lang w:eastAsia="zh-CN"/>
        </w:rPr>
        <w:t>不能</w:t>
      </w:r>
      <w:r>
        <w:rPr>
          <w:rFonts w:hint="eastAsia" w:ascii="宋体" w:hAnsi="宋体" w:eastAsia="仿宋_GB2312"/>
          <w:color w:val="auto"/>
          <w:sz w:val="32"/>
          <w:szCs w:val="32"/>
        </w:rPr>
        <w:t>恢复其原有水土保持功能的单位和个人（以下简称缴纳义务人），均应依法缴纳水土保持补偿费。</w:t>
      </w:r>
    </w:p>
    <w:p w14:paraId="1508A94D">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前款所称其他生产建设活动具体包括：</w:t>
      </w:r>
    </w:p>
    <w:p w14:paraId="7A811DA2">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（一）取土、挖砂、采石（不包括河道采砂）；</w:t>
      </w:r>
    </w:p>
    <w:p w14:paraId="2896EE82">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（二）烧制砖、瓦、瓷、石灰；</w:t>
      </w:r>
    </w:p>
    <w:p w14:paraId="466E6B4D">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（三）排放废弃土、石、渣。</w:t>
      </w:r>
    </w:p>
    <w:p w14:paraId="06EC3F48">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第五条  </w:t>
      </w:r>
      <w:r>
        <w:rPr>
          <w:rFonts w:hint="eastAsia" w:ascii="宋体" w:hAnsi="宋体" w:eastAsia="仿宋_GB2312"/>
          <w:color w:val="auto"/>
          <w:sz w:val="32"/>
          <w:szCs w:val="32"/>
        </w:rPr>
        <w:t>水土保持补偿费的征收标准，依照省发展改革委、省财政厅、省水利厅联合制定的相关规定执行。</w:t>
      </w:r>
    </w:p>
    <w:p w14:paraId="08FEDE90">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第六条　</w:t>
      </w:r>
      <w:r>
        <w:rPr>
          <w:rFonts w:hint="eastAsia" w:ascii="宋体" w:hAnsi="宋体" w:eastAsia="仿宋_GB2312"/>
          <w:color w:val="auto"/>
          <w:sz w:val="32"/>
          <w:szCs w:val="32"/>
        </w:rPr>
        <w:t>水土保持补偿费</w:t>
      </w:r>
      <w:r>
        <w:rPr>
          <w:rFonts w:hint="eastAsia" w:ascii="宋体" w:hAnsi="宋体" w:eastAsia="仿宋_GB2312"/>
          <w:color w:val="auto"/>
          <w:sz w:val="32"/>
          <w:szCs w:val="32"/>
          <w:lang w:eastAsia="zh-CN"/>
        </w:rPr>
        <w:t>征收</w:t>
      </w:r>
      <w:r>
        <w:rPr>
          <w:rFonts w:hint="eastAsia" w:ascii="宋体" w:hAnsi="宋体" w:eastAsia="仿宋_GB2312"/>
          <w:color w:val="auto"/>
          <w:sz w:val="32"/>
          <w:szCs w:val="32"/>
        </w:rPr>
        <w:t>遵循下列规定，由缴纳义务人自</w:t>
      </w:r>
      <w:r>
        <w:rPr>
          <w:rFonts w:hint="eastAsia" w:ascii="宋体" w:hAnsi="宋体" w:eastAsia="仿宋_GB2312"/>
          <w:color w:val="auto"/>
          <w:sz w:val="32"/>
          <w:szCs w:val="32"/>
          <w:lang w:eastAsia="zh-CN"/>
        </w:rPr>
        <w:t>行</w:t>
      </w:r>
      <w:r>
        <w:rPr>
          <w:rFonts w:hint="eastAsia" w:ascii="宋体" w:hAnsi="宋体" w:eastAsia="仿宋_GB2312"/>
          <w:color w:val="auto"/>
          <w:sz w:val="32"/>
          <w:szCs w:val="32"/>
        </w:rPr>
        <w:t>向税务部门申报</w:t>
      </w:r>
      <w:r>
        <w:rPr>
          <w:rFonts w:hint="eastAsia" w:ascii="宋体" w:hAnsi="宋体" w:eastAsia="仿宋_GB2312"/>
          <w:color w:val="auto"/>
          <w:sz w:val="32"/>
          <w:szCs w:val="32"/>
          <w:lang w:eastAsia="zh-CN"/>
        </w:rPr>
        <w:t>缴纳</w:t>
      </w:r>
      <w:r>
        <w:rPr>
          <w:rFonts w:hint="eastAsia" w:ascii="宋体" w:hAnsi="宋体" w:eastAsia="仿宋_GB2312"/>
          <w:color w:val="auto"/>
          <w:sz w:val="32"/>
          <w:szCs w:val="32"/>
        </w:rPr>
        <w:t>。</w:t>
      </w:r>
    </w:p>
    <w:p w14:paraId="732A1FF6">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lang w:eastAsia="zh-CN"/>
        </w:rPr>
        <w:t>开办</w:t>
      </w:r>
      <w:r>
        <w:rPr>
          <w:rFonts w:hint="eastAsia" w:ascii="宋体" w:hAnsi="宋体" w:eastAsia="仿宋_GB2312"/>
          <w:color w:val="auto"/>
          <w:sz w:val="32"/>
          <w:szCs w:val="32"/>
        </w:rPr>
        <w:t>一般性生产建设项目和处于建设期的矿产资源项目，缴纳义务人应向水土保持方案审批部门所在地的县（市、区）税务机关申报</w:t>
      </w:r>
      <w:r>
        <w:rPr>
          <w:rFonts w:hint="eastAsia" w:ascii="宋体" w:hAnsi="宋体" w:eastAsia="仿宋_GB2312"/>
          <w:color w:val="auto"/>
          <w:sz w:val="32"/>
          <w:szCs w:val="32"/>
          <w:lang w:eastAsia="zh-CN"/>
        </w:rPr>
        <w:t>缴纳</w:t>
      </w:r>
      <w:r>
        <w:rPr>
          <w:rFonts w:hint="eastAsia" w:ascii="宋体" w:hAnsi="宋体" w:eastAsia="仿宋_GB2312"/>
          <w:color w:val="auto"/>
          <w:sz w:val="32"/>
          <w:szCs w:val="32"/>
        </w:rPr>
        <w:t>。其中，由水利部和省水行政主管部门审批</w:t>
      </w:r>
      <w:r>
        <w:rPr>
          <w:rFonts w:hint="eastAsia" w:ascii="宋体" w:hAnsi="宋体" w:eastAsia="仿宋_GB2312"/>
          <w:color w:val="auto"/>
          <w:sz w:val="32"/>
          <w:szCs w:val="32"/>
          <w:lang w:eastAsia="zh-CN"/>
        </w:rPr>
        <w:t>水土保持方案</w:t>
      </w:r>
      <w:r>
        <w:rPr>
          <w:rFonts w:hint="eastAsia" w:ascii="宋体" w:hAnsi="宋体" w:eastAsia="仿宋_GB2312"/>
          <w:color w:val="auto"/>
          <w:sz w:val="32"/>
          <w:szCs w:val="32"/>
        </w:rPr>
        <w:t>的项目，由</w:t>
      </w:r>
      <w:r>
        <w:rPr>
          <w:rFonts w:hint="eastAsia" w:ascii="宋体" w:hAnsi="宋体" w:eastAsia="仿宋_GB2312"/>
          <w:color w:val="auto"/>
          <w:sz w:val="32"/>
          <w:szCs w:val="32"/>
          <w:lang w:eastAsia="zh-CN"/>
        </w:rPr>
        <w:t>缴纳义务人</w:t>
      </w:r>
      <w:r>
        <w:rPr>
          <w:rFonts w:hint="eastAsia" w:ascii="宋体" w:hAnsi="宋体" w:eastAsia="仿宋_GB2312"/>
          <w:color w:val="auto"/>
          <w:sz w:val="32"/>
          <w:szCs w:val="32"/>
        </w:rPr>
        <w:t>向省水行政主管部门所在地的县（市、区）税务机关申报缴纳。</w:t>
      </w:r>
    </w:p>
    <w:p w14:paraId="5F81A80E">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开采期的矿产资源项目、</w:t>
      </w:r>
      <w:r>
        <w:rPr>
          <w:rFonts w:hint="eastAsia" w:ascii="宋体" w:hAnsi="宋体" w:eastAsia="仿宋_GB2312"/>
          <w:color w:val="auto"/>
          <w:sz w:val="32"/>
          <w:szCs w:val="32"/>
          <w:lang w:val="en-US" w:eastAsia="zh-CN"/>
        </w:rPr>
        <w:t>无需</w:t>
      </w:r>
      <w:r>
        <w:rPr>
          <w:rFonts w:hint="eastAsia" w:ascii="宋体" w:hAnsi="宋体" w:eastAsia="仿宋_GB2312"/>
          <w:color w:val="auto"/>
          <w:sz w:val="32"/>
          <w:szCs w:val="32"/>
        </w:rPr>
        <w:t>水土保持方案审批的生产建设项目及其他生产建设活动，缴纳义务人向矿产资源开采地或生产建设活动所在地的县（市、区）税务机关申报</w:t>
      </w:r>
      <w:r>
        <w:rPr>
          <w:rFonts w:hint="eastAsia" w:ascii="宋体" w:hAnsi="宋体" w:eastAsia="仿宋_GB2312"/>
          <w:color w:val="auto"/>
          <w:sz w:val="32"/>
          <w:szCs w:val="32"/>
          <w:lang w:eastAsia="zh-CN"/>
        </w:rPr>
        <w:t>缴纳</w:t>
      </w:r>
      <w:r>
        <w:rPr>
          <w:rFonts w:hint="eastAsia" w:ascii="宋体" w:hAnsi="宋体" w:eastAsia="仿宋_GB2312"/>
          <w:color w:val="auto"/>
          <w:sz w:val="32"/>
          <w:szCs w:val="32"/>
        </w:rPr>
        <w:t>。</w:t>
      </w:r>
    </w:p>
    <w:p w14:paraId="0AE789F5">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第七条　</w:t>
      </w:r>
      <w:r>
        <w:rPr>
          <w:rFonts w:hint="eastAsia" w:ascii="宋体" w:hAnsi="宋体" w:eastAsia="仿宋_GB2312"/>
          <w:color w:val="auto"/>
          <w:sz w:val="32"/>
          <w:szCs w:val="32"/>
        </w:rPr>
        <w:t>水土保持补偿费的缴纳时限遵循以下规定：</w:t>
      </w:r>
    </w:p>
    <w:p w14:paraId="420E3BBC">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（一）开办一般性生产建设项目的，包括不需要办理水土保持方案审批手续的项目，缴纳义务人应当在项目开工前，一次性足额缴纳水土保持补偿费。</w:t>
      </w:r>
    </w:p>
    <w:p w14:paraId="1C3AF7C4">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（二）开采矿产资源项目，处于建设期的，缴纳义务人应在项目开工前,一次性足额缴纳水土保持补偿费；处于开采期的，缴纳义务人应在每季度终了15日内，按季度向税务机关申报缴纳水土保持补偿费。</w:t>
      </w:r>
    </w:p>
    <w:p w14:paraId="3F769EF7">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（三）从事其他生产建设活动的，其缴纳时限由</w:t>
      </w:r>
      <w:r>
        <w:rPr>
          <w:rFonts w:hint="eastAsia" w:ascii="宋体" w:hAnsi="宋体" w:eastAsia="仿宋_GB2312"/>
          <w:color w:val="auto"/>
          <w:sz w:val="32"/>
          <w:szCs w:val="32"/>
          <w:lang w:eastAsia="zh-CN"/>
        </w:rPr>
        <w:t>生产建设</w:t>
      </w:r>
      <w:r>
        <w:rPr>
          <w:rFonts w:hint="eastAsia" w:ascii="宋体" w:hAnsi="宋体" w:eastAsia="仿宋_GB2312"/>
          <w:color w:val="auto"/>
          <w:sz w:val="32"/>
          <w:szCs w:val="32"/>
        </w:rPr>
        <w:t>所在地的县（市、区）水行政主管部门，根据实际情况合理确定。</w:t>
      </w:r>
    </w:p>
    <w:p w14:paraId="6791A5CB">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第八条　</w:t>
      </w:r>
      <w:r>
        <w:rPr>
          <w:rFonts w:hint="eastAsia" w:ascii="宋体" w:hAnsi="宋体" w:eastAsia="仿宋_GB2312"/>
          <w:color w:val="auto"/>
          <w:sz w:val="32"/>
          <w:szCs w:val="32"/>
        </w:rPr>
        <w:t>水土保持补偿费按照以下方式计征：</w:t>
      </w:r>
    </w:p>
    <w:p w14:paraId="696E7233">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（一）开办一般性生产建设项目的，包括不需要办理水土保持方案审批手续的项目，按照征占用土地面积计征。</w:t>
      </w:r>
    </w:p>
    <w:p w14:paraId="64476122">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（二）开采矿产资源的，在建设期间按照征占用土地面积计征；在开采期间，除石油、天然气以外的矿产资源按照开采量计征，石油、天然气按照油气生产井占地面积每年计征。</w:t>
      </w:r>
    </w:p>
    <w:p w14:paraId="29D3269B">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（三）取土、挖砂、采石以及烧制砖、瓦、瓷、石灰的，按照取土、挖砂、采石量计征。</w:t>
      </w:r>
    </w:p>
    <w:p w14:paraId="2CE52BAA">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（四）排放废弃土、石、渣的，按照排放量计征。若缴纳义务人已按前述三种方式计征水土保持补偿费</w:t>
      </w:r>
      <w:r>
        <w:rPr>
          <w:rFonts w:hint="eastAsia" w:ascii="宋体" w:hAnsi="宋体" w:eastAsia="仿宋_GB2312"/>
          <w:color w:val="auto"/>
          <w:sz w:val="32"/>
          <w:szCs w:val="32"/>
          <w:lang w:eastAsia="zh-CN"/>
        </w:rPr>
        <w:t>的</w:t>
      </w:r>
      <w:r>
        <w:rPr>
          <w:rFonts w:hint="eastAsia" w:ascii="宋体" w:hAnsi="宋体" w:eastAsia="仿宋_GB2312"/>
          <w:color w:val="auto"/>
          <w:sz w:val="32"/>
          <w:szCs w:val="32"/>
        </w:rPr>
        <w:t>，其排放废弃土、石、渣，不再按照排放量重复计征。</w:t>
      </w:r>
    </w:p>
    <w:p w14:paraId="6291FE98">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对于供水工程建设中同时涉及工业用水和公益性用水的情形，水土保持补偿费根据工业用水比例确定计征数额。</w:t>
      </w:r>
    </w:p>
    <w:p w14:paraId="08B20615">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此外，水利水电工程建设项目</w:t>
      </w:r>
      <w:r>
        <w:rPr>
          <w:rFonts w:hint="eastAsia" w:ascii="宋体" w:hAnsi="宋体" w:eastAsia="仿宋_GB2312"/>
          <w:color w:val="auto"/>
          <w:sz w:val="32"/>
          <w:szCs w:val="32"/>
          <w:lang w:eastAsia="zh-CN"/>
        </w:rPr>
        <w:t>的</w:t>
      </w:r>
      <w:r>
        <w:rPr>
          <w:rFonts w:hint="eastAsia" w:ascii="宋体" w:hAnsi="宋体" w:eastAsia="仿宋_GB2312"/>
          <w:color w:val="auto"/>
          <w:sz w:val="32"/>
          <w:szCs w:val="32"/>
        </w:rPr>
        <w:t>水库淹没区不纳入水土保持补偿费的计征范围。</w:t>
      </w:r>
    </w:p>
    <w:p w14:paraId="75AFC305">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第九条  </w:t>
      </w:r>
      <w:r>
        <w:rPr>
          <w:rFonts w:hint="eastAsia" w:ascii="宋体" w:hAnsi="宋体" w:eastAsia="仿宋_GB2312"/>
          <w:color w:val="auto"/>
          <w:sz w:val="32"/>
          <w:szCs w:val="32"/>
        </w:rPr>
        <w:t>对于一般性生产建设项目及处于建设期的矿产资源项目，负责审批水土保持方案的部门需先核定应缴的水土保持补偿费金额，</w:t>
      </w:r>
      <w:r>
        <w:rPr>
          <w:rFonts w:hint="eastAsia" w:ascii="宋体" w:hAnsi="宋体" w:eastAsia="仿宋_GB2312"/>
          <w:color w:val="auto"/>
          <w:sz w:val="32"/>
          <w:szCs w:val="32"/>
          <w:lang w:eastAsia="zh-CN"/>
        </w:rPr>
        <w:t>由水利行政主管部门或行政审批部门</w:t>
      </w:r>
      <w:r>
        <w:rPr>
          <w:rFonts w:hint="eastAsia" w:ascii="宋体" w:hAnsi="宋体" w:eastAsia="仿宋_GB2312"/>
          <w:color w:val="auto"/>
          <w:sz w:val="32"/>
          <w:szCs w:val="32"/>
        </w:rPr>
        <w:t>将批复文件等</w:t>
      </w:r>
      <w:r>
        <w:rPr>
          <w:rFonts w:hint="eastAsia" w:ascii="宋体" w:hAnsi="宋体" w:eastAsia="仿宋_GB2312"/>
          <w:color w:val="auto"/>
          <w:sz w:val="32"/>
          <w:szCs w:val="32"/>
          <w:lang w:eastAsia="zh-CN"/>
        </w:rPr>
        <w:t>费源</w:t>
      </w:r>
      <w:r>
        <w:rPr>
          <w:rFonts w:hint="eastAsia" w:ascii="宋体" w:hAnsi="宋体" w:eastAsia="仿宋_GB2312"/>
          <w:color w:val="auto"/>
          <w:sz w:val="32"/>
          <w:szCs w:val="32"/>
        </w:rPr>
        <w:t>信息推送至税务部门。缴纳义务人应依据</w:t>
      </w:r>
      <w:r>
        <w:rPr>
          <w:rFonts w:hint="eastAsia" w:ascii="宋体" w:hAnsi="宋体" w:eastAsia="仿宋_GB2312"/>
          <w:color w:val="auto"/>
          <w:sz w:val="32"/>
          <w:szCs w:val="32"/>
          <w:lang w:eastAsia="zh-CN"/>
        </w:rPr>
        <w:t>水土保持方案中</w:t>
      </w:r>
      <w:r>
        <w:rPr>
          <w:rFonts w:hint="eastAsia" w:ascii="宋体" w:hAnsi="宋体" w:eastAsia="仿宋_GB2312"/>
          <w:color w:val="auto"/>
          <w:sz w:val="32"/>
          <w:szCs w:val="32"/>
        </w:rPr>
        <w:t>审批部门确定的金额向税务部门申报缴纳水土保持补偿费。</w:t>
      </w:r>
    </w:p>
    <w:p w14:paraId="58029EA8">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对于处于开采期的矿产资源项目、无需办理水土保持方案审批的生产建设项目以及其他生产建设活动，水行政主管部门应督促缴纳义务人根据实际开采矿产量</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取土</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挖砂</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采石量</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弃土、石、渣排放量</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 xml:space="preserve">或征占用地面积，向税务机关如实申报缴纳水土保持补偿费。 </w:t>
      </w:r>
    </w:p>
    <w:p w14:paraId="78783827">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第十条  </w:t>
      </w:r>
      <w:r>
        <w:rPr>
          <w:rFonts w:hint="eastAsia" w:ascii="宋体" w:hAnsi="宋体" w:eastAsia="仿宋_GB2312"/>
          <w:color w:val="auto"/>
          <w:sz w:val="32"/>
          <w:szCs w:val="32"/>
        </w:rPr>
        <w:t>水行政主管部门负责对未按规定缴纳水土保持补偿费的单位或个人依法依规进行处理或移交执法部门查处，并及时将相关费源信息推送至税务部门。</w:t>
      </w:r>
    </w:p>
    <w:p w14:paraId="34AED787">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第十一条　</w:t>
      </w:r>
      <w:r>
        <w:rPr>
          <w:rFonts w:hint="eastAsia" w:ascii="宋体" w:hAnsi="宋体" w:eastAsia="仿宋_GB2312"/>
          <w:color w:val="auto"/>
          <w:sz w:val="32"/>
          <w:szCs w:val="32"/>
        </w:rPr>
        <w:t>税务部门根据费源信息及时足额征缴入库，并向水行政主管部门、财政部门传递水土保持补偿费征缴情况，及时实现征管信息共享。</w:t>
      </w:r>
    </w:p>
    <w:p w14:paraId="51E3E7C7">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第十二条  </w:t>
      </w:r>
      <w:r>
        <w:rPr>
          <w:rFonts w:hint="eastAsia" w:ascii="宋体" w:hAnsi="宋体" w:eastAsia="仿宋_GB2312"/>
          <w:color w:val="auto"/>
          <w:sz w:val="32"/>
          <w:szCs w:val="32"/>
        </w:rPr>
        <w:t>有下列情形之一的，免征水土保持补偿费：</w:t>
      </w:r>
    </w:p>
    <w:p w14:paraId="678426A7">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（一）建设学校、医院、幼儿园、养老服务设施、孤儿院、福利院等公益性项目的；</w:t>
      </w:r>
    </w:p>
    <w:p w14:paraId="47D3644F">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（二）农民依法利用农村集体土地新建、翻建自用住房的；</w:t>
      </w:r>
    </w:p>
    <w:p w14:paraId="4A40C17D">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（三）按照相关规划开展小型农田水利建设、田间土地整治建设和农村集中供水工程建设的；</w:t>
      </w:r>
    </w:p>
    <w:p w14:paraId="1D2AB733">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四）建设公共租赁住房、棚户区改造、农村危房改造等保障性安居工程，以及面向城市及社会公众提供公共服务的市政供水、排水与污水处理、黑臭水体整治、城市生活垃圾处理、园林绿化等市政生态环境保护基础设施项目的；</w:t>
      </w:r>
    </w:p>
    <w:p w14:paraId="6838517C">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（五）建设军事设施的；</w:t>
      </w:r>
    </w:p>
    <w:p w14:paraId="71143B1E">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（六）按照水土保持规划开展水土流失治理活动的；</w:t>
      </w:r>
    </w:p>
    <w:p w14:paraId="39220C9F">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（七）依据法律、行政法规和国务院规定免征水土保持补偿费的其他情形。</w:t>
      </w:r>
    </w:p>
    <w:p w14:paraId="1C25CD40">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第十三条  </w:t>
      </w:r>
      <w:r>
        <w:rPr>
          <w:rFonts w:hint="eastAsia" w:ascii="宋体" w:hAnsi="宋体" w:eastAsia="仿宋_GB2312"/>
          <w:color w:val="auto"/>
          <w:sz w:val="32"/>
          <w:szCs w:val="32"/>
        </w:rPr>
        <w:t>除本办法规定的情形外，任何单位和个人不得擅自减免水土保持补偿费，不得擅自改变水土保持补偿费的征收对象、范围和标准。</w:t>
      </w:r>
    </w:p>
    <w:p w14:paraId="32B76C89">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第十四条  </w:t>
      </w:r>
      <w:r>
        <w:rPr>
          <w:rFonts w:hint="eastAsia" w:ascii="宋体" w:hAnsi="宋体" w:eastAsia="仿宋_GB2312"/>
          <w:color w:val="auto"/>
          <w:sz w:val="32"/>
          <w:szCs w:val="32"/>
        </w:rPr>
        <w:t>水行政主管部门应当将水土保持补偿费的征收依据、征收标准、征收主体、征收程序、法律责任等信息予以公示。</w:t>
      </w:r>
    </w:p>
    <w:p w14:paraId="7384F25A">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28B600AA">
      <w:pPr>
        <w:keepNext w:val="0"/>
        <w:keepLines w:val="0"/>
        <w:pageBreakBefore w:val="0"/>
        <w:widowControl w:val="0"/>
        <w:kinsoku/>
        <w:wordWrap/>
        <w:overflowPunct/>
        <w:topLinePunct w:val="0"/>
        <w:bidi w:val="0"/>
        <w:snapToGrid w:val="0"/>
        <w:spacing w:line="600" w:lineRule="exact"/>
        <w:ind w:left="0" w:leftChars="0" w:firstLine="0" w:firstLineChars="0"/>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第三章　缴库和退库</w:t>
      </w:r>
    </w:p>
    <w:p w14:paraId="7485AAF7">
      <w:pPr>
        <w:keepNext w:val="0"/>
        <w:keepLines w:val="0"/>
        <w:pageBreakBefore w:val="0"/>
        <w:widowControl w:val="0"/>
        <w:kinsoku/>
        <w:wordWrap/>
        <w:overflowPunct/>
        <w:topLinePunct w:val="0"/>
        <w:bidi w:val="0"/>
        <w:snapToGrid w:val="0"/>
        <w:spacing w:line="600" w:lineRule="exact"/>
        <w:jc w:val="center"/>
        <w:textAlignment w:val="auto"/>
        <w:rPr>
          <w:rFonts w:ascii="黑体" w:hAnsi="黑体" w:eastAsia="黑体"/>
          <w:color w:val="auto"/>
          <w:sz w:val="32"/>
          <w:szCs w:val="32"/>
        </w:rPr>
      </w:pPr>
    </w:p>
    <w:p w14:paraId="4265AD5C">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第十五条  </w:t>
      </w:r>
      <w:r>
        <w:rPr>
          <w:rFonts w:hint="eastAsia" w:ascii="宋体" w:hAnsi="宋体" w:eastAsia="仿宋_GB2312"/>
          <w:color w:val="auto"/>
          <w:sz w:val="32"/>
          <w:szCs w:val="32"/>
        </w:rPr>
        <w:t>水土保持补偿费属中央与地方共享收入，按照1:9的比例分别缴入中央和审批水土保持方案的部门所在地同级国库。其中，由水利部审批水土保持方案的项目所缴纳的水土保持补偿费，按照1:9的比例分别缴入</w:t>
      </w:r>
      <w:r>
        <w:rPr>
          <w:rFonts w:hint="eastAsia" w:ascii="宋体" w:hAnsi="宋体" w:eastAsia="仿宋_GB2312"/>
          <w:color w:val="auto"/>
          <w:sz w:val="32"/>
          <w:szCs w:val="32"/>
          <w:lang w:eastAsia="zh-CN"/>
        </w:rPr>
        <w:t>中央和</w:t>
      </w:r>
      <w:r>
        <w:rPr>
          <w:rFonts w:hint="eastAsia" w:ascii="宋体" w:hAnsi="宋体" w:eastAsia="仿宋_GB2312"/>
          <w:color w:val="auto"/>
          <w:sz w:val="32"/>
          <w:szCs w:val="32"/>
        </w:rPr>
        <w:t>省级国库。</w:t>
      </w:r>
    </w:p>
    <w:p w14:paraId="4F615DD2">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第十六条　</w:t>
      </w:r>
      <w:r>
        <w:rPr>
          <w:rFonts w:hint="eastAsia" w:ascii="宋体" w:hAnsi="宋体" w:eastAsia="仿宋_GB2312"/>
          <w:color w:val="auto"/>
          <w:sz w:val="32"/>
          <w:szCs w:val="32"/>
        </w:rPr>
        <w:t>水土保持补偿费作为政府非税收入，纳入一般公共预算管理，其征收过程使用财政部统一监（印）制的非税收入票据（电子），并确保全额缴入国库，收入科目列为“103044609水土保持补偿费”。</w:t>
      </w:r>
    </w:p>
    <w:p w14:paraId="1D30DB3C">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第十七条　</w:t>
      </w:r>
      <w:r>
        <w:rPr>
          <w:rFonts w:hint="eastAsia" w:ascii="宋体" w:hAnsi="宋体" w:eastAsia="仿宋_GB2312"/>
          <w:color w:val="auto"/>
          <w:sz w:val="32"/>
          <w:szCs w:val="32"/>
        </w:rPr>
        <w:t>水土保持补偿费缴入国库</w:t>
      </w:r>
      <w:r>
        <w:rPr>
          <w:rFonts w:hint="eastAsia" w:ascii="宋体" w:hAnsi="宋体" w:eastAsia="仿宋_GB2312"/>
          <w:color w:val="auto"/>
          <w:sz w:val="32"/>
          <w:szCs w:val="32"/>
          <w:lang w:eastAsia="zh-CN"/>
        </w:rPr>
        <w:t>后</w:t>
      </w:r>
      <w:r>
        <w:rPr>
          <w:rFonts w:hint="eastAsia" w:ascii="宋体" w:hAnsi="宋体" w:eastAsia="仿宋_GB2312"/>
          <w:color w:val="auto"/>
          <w:sz w:val="32"/>
          <w:szCs w:val="32"/>
        </w:rPr>
        <w:t>，如需退库</w:t>
      </w:r>
      <w:r>
        <w:rPr>
          <w:rFonts w:hint="eastAsia" w:ascii="宋体" w:hAnsi="宋体" w:eastAsia="仿宋_GB2312"/>
          <w:color w:val="auto"/>
          <w:sz w:val="32"/>
          <w:szCs w:val="32"/>
          <w:lang w:eastAsia="zh-CN"/>
        </w:rPr>
        <w:t>的</w:t>
      </w:r>
      <w:r>
        <w:rPr>
          <w:rFonts w:hint="eastAsia" w:ascii="宋体" w:hAnsi="宋体" w:eastAsia="仿宋_GB2312"/>
          <w:color w:val="auto"/>
          <w:sz w:val="32"/>
          <w:szCs w:val="32"/>
        </w:rPr>
        <w:t>,应按照财政部门有关退库管理规定办理。其中，因缴纳义务人误缴、税务部门误收需要退库的，由财政部门授权税务部门审核退库，缴纳义务人直接向税务部门申请办理。</w:t>
      </w:r>
    </w:p>
    <w:p w14:paraId="2DDBFA51">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第十八条  </w:t>
      </w:r>
      <w:r>
        <w:rPr>
          <w:rFonts w:hint="eastAsia" w:ascii="宋体" w:hAnsi="宋体" w:eastAsia="仿宋_GB2312"/>
          <w:color w:val="auto"/>
          <w:sz w:val="32"/>
          <w:szCs w:val="32"/>
        </w:rPr>
        <w:t>各级税务部门应将水土保持补偿费收入及时足额上缴中央及相应级次的国库，严禁截留、占压、拖延上缴。</w:t>
      </w:r>
    </w:p>
    <w:p w14:paraId="36A7923A">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6A321135">
      <w:pPr>
        <w:keepNext w:val="0"/>
        <w:keepLines w:val="0"/>
        <w:pageBreakBefore w:val="0"/>
        <w:widowControl w:val="0"/>
        <w:kinsoku/>
        <w:wordWrap/>
        <w:overflowPunct/>
        <w:topLinePunct w:val="0"/>
        <w:bidi w:val="0"/>
        <w:snapToGrid w:val="0"/>
        <w:spacing w:line="600" w:lineRule="exact"/>
        <w:ind w:left="0" w:leftChars="0" w:firstLine="0" w:firstLineChars="0"/>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第四章  法律责任</w:t>
      </w:r>
    </w:p>
    <w:p w14:paraId="3939FBA5">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6441C8D2">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第十九条  </w:t>
      </w:r>
      <w:r>
        <w:rPr>
          <w:rFonts w:hint="eastAsia" w:ascii="宋体" w:hAnsi="宋体" w:eastAsia="仿宋_GB2312"/>
          <w:color w:val="auto"/>
          <w:sz w:val="32"/>
          <w:szCs w:val="32"/>
        </w:rPr>
        <w:t>单位和个人违反本办法规定，有下列情形之一的，将依照《财政违法行为处罚处分条例》（国务院令第427号）和《违反行政事业性收费和罚没收入收支两条线管理规定行政处分暂行规定》(国务院令第281号)等国家有关规定追究相应责任；涉嫌犯罪的，依法追究刑事责任：</w:t>
      </w:r>
    </w:p>
    <w:p w14:paraId="39590376">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（一）擅自减免水土保持补偿费，或改变其征收范围、对象和标准的；</w:t>
      </w:r>
    </w:p>
    <w:p w14:paraId="4F12324D">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（二）隐瞒、坐支应上缴的水土保持补偿费的；</w:t>
      </w:r>
    </w:p>
    <w:p w14:paraId="1737B628">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（三）滞留、截留、挪用应上缴的水土保持补偿费的；</w:t>
      </w:r>
    </w:p>
    <w:p w14:paraId="477E90CD">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（四）未按规定预算级次、预算科目将水土保持补偿费缴入国库的；</w:t>
      </w:r>
    </w:p>
    <w:p w14:paraId="380EFF24">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color w:val="auto"/>
          <w:sz w:val="32"/>
          <w:szCs w:val="32"/>
        </w:rPr>
        <w:t>（五）其他违反国家财政收入管理规定的行为。</w:t>
      </w:r>
    </w:p>
    <w:p w14:paraId="660542AB">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第二十条　</w:t>
      </w:r>
      <w:r>
        <w:rPr>
          <w:rFonts w:hint="eastAsia" w:ascii="宋体" w:hAnsi="宋体" w:eastAsia="仿宋_GB2312"/>
          <w:color w:val="auto"/>
          <w:sz w:val="32"/>
          <w:szCs w:val="32"/>
        </w:rPr>
        <w:t>缴纳义务人拒不缴纳、拖延缴纳或拖欠水土保持补偿费</w:t>
      </w:r>
      <w:r>
        <w:rPr>
          <w:rFonts w:hint="eastAsia" w:ascii="宋体" w:hAnsi="宋体" w:eastAsia="仿宋_GB2312"/>
          <w:color w:val="auto"/>
          <w:sz w:val="32"/>
          <w:szCs w:val="32"/>
          <w:lang w:eastAsia="zh-CN"/>
        </w:rPr>
        <w:t>的</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由县级以上人民政府水行政主管部门责令限期缴纳；逾期不缴纳的，自滞纳之日起按日加收滞纳部分万分之五的滞纳金，并</w:t>
      </w:r>
      <w:r>
        <w:rPr>
          <w:rFonts w:hint="eastAsia" w:ascii="宋体" w:hAnsi="宋体" w:eastAsia="仿宋_GB2312"/>
          <w:color w:val="auto"/>
          <w:sz w:val="32"/>
          <w:szCs w:val="32"/>
        </w:rPr>
        <w:t>依照《中华人民共和国水土保持法》第五十七条规定予以处罚。缴纳义务人对处罚决定不服</w:t>
      </w:r>
      <w:r>
        <w:rPr>
          <w:rFonts w:hint="eastAsia" w:ascii="宋体" w:hAnsi="宋体" w:eastAsia="仿宋_GB2312"/>
          <w:color w:val="auto"/>
          <w:sz w:val="32"/>
          <w:szCs w:val="32"/>
          <w:lang w:eastAsia="zh-CN"/>
        </w:rPr>
        <w:t>的</w:t>
      </w:r>
      <w:r>
        <w:rPr>
          <w:rFonts w:hint="eastAsia" w:ascii="宋体" w:hAnsi="宋体" w:eastAsia="仿宋_GB2312"/>
          <w:color w:val="auto"/>
          <w:sz w:val="32"/>
          <w:szCs w:val="32"/>
        </w:rPr>
        <w:t>，可依法申请行政复议或者提起行政诉讼。</w:t>
      </w:r>
    </w:p>
    <w:p w14:paraId="6B7F7870">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第二十一条　</w:t>
      </w:r>
      <w:r>
        <w:rPr>
          <w:rFonts w:hint="eastAsia" w:ascii="宋体" w:hAnsi="宋体" w:eastAsia="仿宋_GB2312"/>
          <w:color w:val="auto"/>
          <w:sz w:val="32"/>
          <w:szCs w:val="32"/>
        </w:rPr>
        <w:t>缴纳义务人缴纳水土保持补偿费，不免除其防治水土流失的责任。</w:t>
      </w:r>
    </w:p>
    <w:p w14:paraId="612C4F63">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第二十二条　</w:t>
      </w:r>
      <w:r>
        <w:rPr>
          <w:rFonts w:hint="eastAsia" w:ascii="宋体" w:hAnsi="宋体" w:eastAsia="仿宋_GB2312"/>
          <w:color w:val="auto"/>
          <w:sz w:val="32"/>
          <w:szCs w:val="32"/>
        </w:rPr>
        <w:t>水土保持补偿费征收、管理有关部门的工作人员若违反本办法规定，在水土保持补偿费征收和管理工作中存在徇私舞弊、玩忽职守、滥用职权等行为的，依法依规给予处分；涉嫌犯罪的，依法追究刑事责任。</w:t>
      </w:r>
    </w:p>
    <w:p w14:paraId="329CDEAA">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0F77BA7A">
      <w:pPr>
        <w:keepNext w:val="0"/>
        <w:keepLines w:val="0"/>
        <w:pageBreakBefore w:val="0"/>
        <w:widowControl w:val="0"/>
        <w:kinsoku/>
        <w:wordWrap/>
        <w:overflowPunct/>
        <w:topLinePunct w:val="0"/>
        <w:bidi w:val="0"/>
        <w:snapToGrid w:val="0"/>
        <w:spacing w:line="600" w:lineRule="exact"/>
        <w:ind w:left="0" w:leftChars="0" w:firstLine="0" w:firstLineChars="0"/>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第五章  附  则</w:t>
      </w:r>
    </w:p>
    <w:p w14:paraId="6E60DFF0">
      <w:pPr>
        <w:keepNext w:val="0"/>
        <w:keepLines w:val="0"/>
        <w:pageBreakBefore w:val="0"/>
        <w:widowControl w:val="0"/>
        <w:kinsoku/>
        <w:wordWrap/>
        <w:overflowPunct/>
        <w:topLinePunct w:val="0"/>
        <w:bidi w:val="0"/>
        <w:snapToGrid w:val="0"/>
        <w:spacing w:line="600" w:lineRule="exact"/>
        <w:ind w:firstLine="645"/>
        <w:textAlignment w:val="auto"/>
        <w:rPr>
          <w:rFonts w:ascii="宋体" w:hAnsi="宋体" w:eastAsia="仿宋_GB2312"/>
          <w:color w:val="auto"/>
          <w:sz w:val="32"/>
          <w:szCs w:val="32"/>
        </w:rPr>
      </w:pPr>
    </w:p>
    <w:p w14:paraId="75045B66">
      <w:pPr>
        <w:keepNext w:val="0"/>
        <w:keepLines w:val="0"/>
        <w:pageBreakBefore w:val="0"/>
        <w:widowControl w:val="0"/>
        <w:kinsoku/>
        <w:wordWrap/>
        <w:overflowPunct/>
        <w:topLinePunct w:val="0"/>
        <w:bidi w:val="0"/>
        <w:snapToGrid w:val="0"/>
        <w:spacing w:line="600" w:lineRule="exact"/>
        <w:ind w:firstLine="645"/>
        <w:textAlignment w:val="auto"/>
        <w:rPr>
          <w:rFonts w:hint="eastAsia" w:ascii="宋体" w:hAnsi="宋体" w:eastAsia="仿宋_GB2312"/>
          <w:color w:val="auto"/>
          <w:sz w:val="32"/>
          <w:szCs w:val="32"/>
        </w:rPr>
      </w:pPr>
      <w:r>
        <w:rPr>
          <w:rFonts w:hint="eastAsia" w:ascii="宋体" w:hAnsi="宋体" w:eastAsia="仿宋_GB2312"/>
          <w:b/>
          <w:color w:val="auto"/>
          <w:sz w:val="32"/>
          <w:szCs w:val="32"/>
        </w:rPr>
        <w:t xml:space="preserve">第二十三条  </w:t>
      </w:r>
      <w:r>
        <w:rPr>
          <w:rFonts w:hint="eastAsia" w:ascii="宋体" w:hAnsi="宋体" w:eastAsia="仿宋_GB2312"/>
          <w:color w:val="auto"/>
          <w:sz w:val="32"/>
          <w:szCs w:val="32"/>
        </w:rPr>
        <w:t>本办法由省财政厅、省发展改革委、省水利厅和中国人民银行山东省分行负责解释。</w:t>
      </w:r>
    </w:p>
    <w:p w14:paraId="3F57C728">
      <w:pPr>
        <w:keepNext w:val="0"/>
        <w:keepLines w:val="0"/>
        <w:pageBreakBefore w:val="0"/>
        <w:widowControl w:val="0"/>
        <w:kinsoku/>
        <w:wordWrap/>
        <w:overflowPunct/>
        <w:topLinePunct w:val="0"/>
        <w:bidi w:val="0"/>
        <w:snapToGrid w:val="0"/>
        <w:spacing w:line="600" w:lineRule="exact"/>
        <w:ind w:firstLine="645"/>
        <w:textAlignment w:val="auto"/>
        <w:rPr>
          <w:rFonts w:hint="default" w:ascii="仿宋_GB2312" w:hAnsi="仿宋_GB2312" w:cs="仿宋_GB2312"/>
          <w:color w:val="auto"/>
          <w:lang w:val="en-US" w:eastAsia="zh-CN"/>
        </w:rPr>
        <w:sectPr>
          <w:footerReference r:id="rId5" w:type="default"/>
          <w:pgSz w:w="11906" w:h="16838"/>
          <w:pgMar w:top="1701" w:right="1474" w:bottom="1701" w:left="1474" w:header="851" w:footer="1361" w:gutter="0"/>
          <w:pgNumType w:fmt="decimal"/>
          <w:cols w:space="0" w:num="1"/>
          <w:docGrid w:type="lines" w:linePitch="439" w:charSpace="0"/>
        </w:sectPr>
      </w:pPr>
      <w:r>
        <w:rPr>
          <w:rFonts w:hint="eastAsia" w:ascii="宋体" w:hAnsi="宋体" w:eastAsia="仿宋_GB2312"/>
          <w:b/>
          <w:color w:val="auto"/>
          <w:sz w:val="32"/>
          <w:szCs w:val="32"/>
        </w:rPr>
        <w:t xml:space="preserve">第二十四条  </w:t>
      </w:r>
      <w:r>
        <w:rPr>
          <w:rFonts w:hint="eastAsia" w:ascii="宋体" w:hAnsi="宋体" w:eastAsia="仿宋_GB2312"/>
          <w:color w:val="auto"/>
          <w:sz w:val="32"/>
          <w:szCs w:val="32"/>
        </w:rPr>
        <w:t>本办法自2025年5月3日起施行，有效期至2030年5月2日。</w:t>
      </w:r>
    </w:p>
    <w:p w14:paraId="3733F985">
      <w:pPr>
        <w:ind w:left="0" w:leftChars="0" w:firstLine="0" w:firstLineChars="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DE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A9D033">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AA9D033">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E11BD"/>
    <w:rsid w:val="747E1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2025-04-03T07:21:00Z</dcterms:created>
  <dc:creator>Administrator</dc:creator>
  <cp:lastModifiedBy>Administrator</cp:lastModifiedBy>
  <dcterms:modified xsi:type="dcterms:W3CDTF">2025-04-03T07:23:12Z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466002072BBE4BCE910528CEBE304803_11</vt:lpwstr>
  </property>
  <property fmtid="{D5CDD505-2E9C-101B-9397-08002B2CF9AE}" pid="4" name="KSOTemplateDocerSaveRecord">
    <vt:lpwstr>eyJoZGlkIjoiMzRkY2Y1ZjE4YTJjZDVlMWUzNjRlMDFlMDg4YWI0YmEifQ==</vt:lpwstr>
  </property>
</Properties>
</file>