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rPr>
      </w:pPr>
      <w:r>
        <w:rPr>
          <w:rFonts w:hint="eastAsia" w:ascii="黑体" w:hAnsi="黑体" w:eastAsia="黑体"/>
          <w:color w:val="000000" w:themeColor="text1"/>
          <w:sz w:val="32"/>
          <w:szCs w:val="32"/>
        </w:rPr>
        <w:t>附件</w:t>
      </w:r>
      <w:r>
        <w:rPr>
          <w:rFonts w:ascii="黑体" w:hAnsi="黑体" w:eastAsia="黑体"/>
          <w:color w:val="000000" w:themeColor="text1"/>
          <w:sz w:val="32"/>
          <w:szCs w:val="32"/>
        </w:rPr>
        <w:t>1</w:t>
      </w:r>
    </w:p>
    <w:p>
      <w:pPr>
        <w:jc w:val="center"/>
        <w:outlineLvl w:val="0"/>
        <w:rPr>
          <w:rFonts w:ascii="方正小标宋简体" w:hAnsi="华文中宋" w:eastAsia="方正小标宋简体"/>
          <w:color w:val="000000" w:themeColor="text1"/>
          <w:sz w:val="48"/>
          <w:szCs w:val="52"/>
        </w:rPr>
      </w:pPr>
      <w:bookmarkStart w:id="0" w:name="_GoBack"/>
      <w:r>
        <w:rPr>
          <w:rFonts w:ascii="方正小标宋简体" w:hAnsi="华文中宋" w:eastAsia="方正小标宋简体"/>
          <w:color w:val="000000" w:themeColor="text1"/>
          <w:sz w:val="44"/>
          <w:szCs w:val="52"/>
        </w:rPr>
        <w:t>2020</w:t>
      </w:r>
      <w:r>
        <w:rPr>
          <w:rFonts w:hint="eastAsia" w:ascii="方正小标宋简体" w:hAnsi="华文中宋" w:eastAsia="方正小标宋简体"/>
          <w:color w:val="000000" w:themeColor="text1"/>
          <w:sz w:val="44"/>
          <w:szCs w:val="52"/>
        </w:rPr>
        <w:t>年度行政事业单位内部控制报告</w:t>
      </w:r>
    </w:p>
    <w:bookmarkEnd w:id="0"/>
    <w:p>
      <w:pPr>
        <w:spacing w:line="360" w:lineRule="exact"/>
        <w:jc w:val="center"/>
        <w:rPr>
          <w:rFonts w:ascii="黑体" w:eastAsia="黑体"/>
          <w:b/>
          <w:color w:val="000000" w:themeColor="text1"/>
          <w:sz w:val="24"/>
        </w:rPr>
      </w:pPr>
    </w:p>
    <w:p>
      <w:pPr>
        <w:spacing w:line="360" w:lineRule="exact"/>
        <w:jc w:val="center"/>
        <w:rPr>
          <w:rFonts w:ascii="黑体" w:eastAsia="黑体"/>
          <w:b/>
          <w:color w:val="000000" w:themeColor="text1"/>
          <w:sz w:val="24"/>
        </w:rPr>
      </w:pPr>
    </w:p>
    <w:p>
      <w:pPr>
        <w:spacing w:line="360" w:lineRule="exact"/>
        <w:jc w:val="center"/>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单位公章</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名 称:</w:t>
      </w:r>
      <w:r>
        <w:rPr>
          <w:rFonts w:hint="eastAsia" w:ascii="仿宋_GB2312" w:eastAsia="仿宋_GB2312"/>
          <w:color w:val="000000" w:themeColor="text1"/>
          <w:sz w:val="32"/>
          <w:szCs w:val="32"/>
          <w:u w:val="single"/>
        </w:rPr>
        <w:t xml:space="preserve">                     </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负 责 人:</w:t>
      </w:r>
      <w:r>
        <w:rPr>
          <w:rFonts w:hint="eastAsia" w:ascii="仿宋_GB2312" w:eastAsia="仿宋_GB2312"/>
          <w:color w:val="000000" w:themeColor="text1"/>
          <w:sz w:val="32"/>
          <w:szCs w:val="32"/>
          <w:u w:val="single"/>
        </w:rPr>
        <w:t xml:space="preserve">      (签章)      </w:t>
      </w:r>
    </w:p>
    <w:p>
      <w:pPr>
        <w:spacing w:line="36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分管内控负责人:</w:t>
      </w:r>
      <w:r>
        <w:rPr>
          <w:rFonts w:hint="eastAsia" w:ascii="仿宋_GB2312" w:eastAsia="仿宋_GB2312"/>
          <w:color w:val="000000" w:themeColor="text1"/>
          <w:sz w:val="32"/>
          <w:szCs w:val="32"/>
          <w:u w:val="single"/>
        </w:rPr>
        <w:t xml:space="preserve">      (签章)      </w:t>
      </w:r>
    </w:p>
    <w:p>
      <w:pPr>
        <w:spacing w:line="36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牵头部门负责人:</w:t>
      </w:r>
      <w:r>
        <w:rPr>
          <w:rFonts w:hint="eastAsia" w:ascii="仿宋_GB2312" w:eastAsia="仿宋_GB2312"/>
          <w:color w:val="000000" w:themeColor="text1"/>
          <w:sz w:val="32"/>
          <w:szCs w:val="32"/>
          <w:u w:val="single"/>
        </w:rPr>
        <w:t xml:space="preserve">      (签章)      </w:t>
      </w:r>
    </w:p>
    <w:p>
      <w:pPr>
        <w:spacing w:line="360" w:lineRule="exact"/>
        <w:ind w:firstLine="3520" w:firstLineChars="1100"/>
        <w:jc w:val="left"/>
        <w:outlineLvl w:val="0"/>
        <w:rPr>
          <w:rFonts w:ascii="仿宋_GB2312" w:eastAsia="仿宋_GB2312"/>
          <w:color w:val="000000" w:themeColor="text1"/>
          <w:sz w:val="32"/>
          <w:szCs w:val="32"/>
        </w:rPr>
      </w:pPr>
      <w:r>
        <w:rPr>
          <w:rFonts w:hint="eastAsia" w:ascii="仿宋_GB2312" w:eastAsia="仿宋_GB2312"/>
          <w:color w:val="000000" w:themeColor="text1"/>
          <w:sz w:val="32"/>
          <w:szCs w:val="32"/>
        </w:rPr>
        <w:t>填  表  人:</w:t>
      </w:r>
      <w:r>
        <w:rPr>
          <w:rFonts w:hint="eastAsia" w:ascii="仿宋_GB2312" w:eastAsia="仿宋_GB2312"/>
          <w:color w:val="000000" w:themeColor="text1"/>
          <w:sz w:val="32"/>
          <w:szCs w:val="32"/>
          <w:u w:val="single"/>
        </w:rPr>
        <w:t xml:space="preserve">          (签章)      </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填 表 部 门:</w:t>
      </w:r>
      <w:r>
        <w:rPr>
          <w:rFonts w:hint="eastAsia" w:ascii="仿宋_GB2312" w:eastAsia="仿宋_GB2312"/>
          <w:color w:val="000000" w:themeColor="text1"/>
          <w:sz w:val="32"/>
          <w:szCs w:val="32"/>
          <w:u w:val="single"/>
        </w:rPr>
        <w:t xml:space="preserve">                     </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电 话 号 码:</w:t>
      </w:r>
      <w:r>
        <w:rPr>
          <w:rFonts w:hint="eastAsia" w:ascii="仿宋_GB2312" w:eastAsia="仿宋_GB2312"/>
          <w:color w:val="000000" w:themeColor="text1"/>
          <w:sz w:val="32"/>
          <w:szCs w:val="32"/>
          <w:u w:val="single"/>
        </w:rPr>
        <w:t xml:space="preserve">                     </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单 位 地 址:</w:t>
      </w:r>
      <w:r>
        <w:rPr>
          <w:rFonts w:hint="eastAsia" w:ascii="仿宋_GB2312" w:eastAsia="仿宋_GB2312"/>
          <w:color w:val="000000" w:themeColor="text1"/>
          <w:sz w:val="32"/>
          <w:szCs w:val="32"/>
          <w:u w:val="single"/>
        </w:rPr>
        <w:t xml:space="preserve">                     </w:t>
      </w:r>
    </w:p>
    <w:p>
      <w:pPr>
        <w:spacing w:line="360" w:lineRule="exact"/>
        <w:ind w:firstLine="3520" w:firstLineChars="1100"/>
        <w:jc w:val="left"/>
        <w:outlineLvl w:val="0"/>
        <w:rPr>
          <w:rFonts w:ascii="仿宋_GB2312" w:eastAsia="仿宋_GB2312"/>
          <w:b/>
          <w:color w:val="000000" w:themeColor="text1"/>
          <w:sz w:val="32"/>
          <w:szCs w:val="32"/>
          <w:u w:val="single"/>
        </w:rPr>
      </w:pPr>
      <w:r>
        <w:rPr>
          <w:rFonts w:hint="eastAsia" w:ascii="仿宋_GB2312" w:eastAsia="仿宋_GB2312"/>
          <w:color w:val="000000" w:themeColor="text1"/>
          <w:sz w:val="32"/>
          <w:szCs w:val="32"/>
        </w:rPr>
        <w:t>邮 政 编 码:</w:t>
      </w:r>
      <w:r>
        <w:rPr>
          <w:rFonts w:hint="eastAsia" w:ascii="仿宋_GB2312" w:eastAsia="仿宋_GB2312"/>
          <w:color w:val="000000" w:themeColor="text1"/>
          <w:sz w:val="32"/>
          <w:szCs w:val="32"/>
          <w:u w:val="single"/>
        </w:rPr>
        <w:t xml:space="preserve">                     </w:t>
      </w:r>
    </w:p>
    <w:p>
      <w:pPr>
        <w:spacing w:line="360" w:lineRule="exact"/>
        <w:ind w:firstLine="3520" w:firstLineChars="1100"/>
        <w:jc w:val="left"/>
        <w:outlineLvl w:val="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报 送 日 期:</w:t>
      </w:r>
      <w:r>
        <w:rPr>
          <w:rFonts w:hint="eastAsia" w:ascii="仿宋_GB2312" w:eastAsia="仿宋_GB2312"/>
          <w:color w:val="000000" w:themeColor="text1"/>
          <w:sz w:val="32"/>
          <w:szCs w:val="32"/>
          <w:u w:val="single"/>
        </w:rPr>
        <w:t xml:space="preserve">         年  月  日  </w:t>
      </w:r>
    </w:p>
    <w:p>
      <w:pPr>
        <w:spacing w:line="360" w:lineRule="exact"/>
        <w:rPr>
          <w:rFonts w:ascii="黑体" w:eastAsia="黑体"/>
          <w:color w:val="000000" w:themeColor="text1"/>
          <w:sz w:val="24"/>
        </w:rPr>
      </w:pPr>
    </w:p>
    <w:p>
      <w:pPr>
        <w:spacing w:line="360" w:lineRule="exact"/>
        <w:rPr>
          <w:rFonts w:ascii="黑体" w:eastAsia="黑体"/>
          <w:color w:val="000000" w:themeColor="text1"/>
          <w:sz w:val="24"/>
        </w:rPr>
      </w:pPr>
    </w:p>
    <w:tbl>
      <w:tblPr>
        <w:tblStyle w:val="11"/>
        <w:tblW w:w="15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546"/>
        <w:gridCol w:w="918"/>
        <w:gridCol w:w="241"/>
        <w:gridCol w:w="1459"/>
        <w:gridCol w:w="1282"/>
        <w:gridCol w:w="150"/>
        <w:gridCol w:w="99"/>
        <w:gridCol w:w="561"/>
        <w:gridCol w:w="1153"/>
        <w:gridCol w:w="389"/>
        <w:gridCol w:w="2202"/>
        <w:gridCol w:w="48"/>
        <w:gridCol w:w="239"/>
        <w:gridCol w:w="2018"/>
        <w:gridCol w:w="1044"/>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20" w:hRule="atLeast"/>
          <w:jc w:val="center"/>
        </w:trPr>
        <w:tc>
          <w:tcPr>
            <w:tcW w:w="7023" w:type="dxa"/>
            <w:gridSpan w:val="8"/>
            <w:vAlign w:val="center"/>
          </w:tcPr>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组织机构代码：</w:t>
            </w:r>
            <w:r>
              <w:rPr>
                <w:rFonts w:ascii="仿宋_GB2312" w:eastAsia="仿宋_GB2312" w:hAnsiTheme="minorEastAsia"/>
                <w:color w:val="000000" w:themeColor="text1"/>
                <w:sz w:val="24"/>
              </w:rPr>
              <w:t>□□□□□□□□□</w:t>
            </w:r>
          </w:p>
        </w:tc>
        <w:tc>
          <w:tcPr>
            <w:tcW w:w="7654" w:type="dxa"/>
            <w:gridSpan w:val="8"/>
            <w:vAlign w:val="center"/>
          </w:tcPr>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隶属关系（国家标准：隶属关系</w:t>
            </w:r>
            <w:r>
              <w:rPr>
                <w:rFonts w:ascii="仿宋_GB2312" w:eastAsia="仿宋_GB2312" w:hAnsiTheme="minorEastAsia"/>
                <w:color w:val="000000" w:themeColor="text1"/>
                <w:sz w:val="24"/>
              </w:rPr>
              <w:t xml:space="preserve">-部门标识代码）：准：隶属关系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20" w:hRule="atLeast"/>
          <w:jc w:val="center"/>
        </w:trPr>
        <w:tc>
          <w:tcPr>
            <w:tcW w:w="7023" w:type="dxa"/>
            <w:gridSpan w:val="8"/>
            <w:vAlign w:val="center"/>
          </w:tcPr>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单位预算级次：</w:t>
            </w:r>
            <w:r>
              <w:rPr>
                <w:rFonts w:ascii="仿宋_GB2312" w:eastAsia="仿宋_GB2312" w:hAnsiTheme="minorEastAsia"/>
                <w:color w:val="000000" w:themeColor="text1"/>
                <w:sz w:val="24"/>
              </w:rPr>
              <w:t>□</w:t>
            </w:r>
          </w:p>
        </w:tc>
        <w:tc>
          <w:tcPr>
            <w:tcW w:w="7654" w:type="dxa"/>
            <w:gridSpan w:val="8"/>
            <w:vAlign w:val="center"/>
          </w:tcPr>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单位财政预算代码：□□□□□□□□□□□□□□□□□□□□□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20" w:hRule="atLeast"/>
          <w:jc w:val="center"/>
        </w:trPr>
        <w:tc>
          <w:tcPr>
            <w:tcW w:w="7023" w:type="dxa"/>
            <w:gridSpan w:val="8"/>
            <w:tcBorders>
              <w:bottom w:val="single" w:color="auto" w:sz="4" w:space="0"/>
            </w:tcBorders>
            <w:vAlign w:val="center"/>
          </w:tcPr>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单位基本性质：</w:t>
            </w:r>
            <w:r>
              <w:rPr>
                <w:rFonts w:ascii="仿宋_GB2312" w:eastAsia="仿宋_GB2312" w:hAnsiTheme="minorEastAsia"/>
                <w:color w:val="000000" w:themeColor="text1"/>
                <w:sz w:val="24"/>
              </w:rPr>
              <w:t>□□</w:t>
            </w:r>
          </w:p>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rPr>
              <w:t>（</w:t>
            </w:r>
            <w:r>
              <w:rPr>
                <w:rFonts w:ascii="仿宋_GB2312" w:eastAsia="仿宋_GB2312" w:hAnsiTheme="minorEastAsia"/>
                <w:color w:val="000000" w:themeColor="text1"/>
              </w:rPr>
              <w:t>10.行政单位 21.参照公务员法管理事业单位 22.财政补助事业单位 23.经费自理事业单位 90.其他单位</w:t>
            </w:r>
            <w:r>
              <w:rPr>
                <w:rFonts w:hint="eastAsia" w:ascii="仿宋_GB2312" w:eastAsia="仿宋_GB2312" w:hAnsiTheme="minorEastAsia"/>
                <w:color w:val="000000" w:themeColor="text1"/>
              </w:rPr>
              <w:t>）</w:t>
            </w:r>
          </w:p>
        </w:tc>
        <w:tc>
          <w:tcPr>
            <w:tcW w:w="7654" w:type="dxa"/>
            <w:gridSpan w:val="8"/>
            <w:tcBorders>
              <w:bottom w:val="single" w:color="auto" w:sz="4" w:space="0"/>
            </w:tcBorders>
            <w:vAlign w:val="center"/>
          </w:tcPr>
          <w:p>
            <w:pPr>
              <w:widowControl/>
              <w:ind w:left="7200" w:hanging="7200" w:hangingChars="3000"/>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预算管理级次：□□</w:t>
            </w:r>
          </w:p>
          <w:p>
            <w:pPr>
              <w:widowControl/>
              <w:rPr>
                <w:rFonts w:ascii="仿宋_GB2312" w:eastAsia="仿宋_GB2312" w:hAnsiTheme="minorEastAsia"/>
                <w:color w:val="000000" w:themeColor="text1"/>
                <w:sz w:val="24"/>
              </w:rPr>
            </w:pPr>
            <w:r>
              <w:rPr>
                <w:rFonts w:hint="eastAsia" w:ascii="仿宋_GB2312" w:eastAsia="仿宋_GB2312" w:hAnsiTheme="minorEastAsia"/>
                <w:color w:val="000000" w:themeColor="text1"/>
              </w:rPr>
              <w:t>（</w:t>
            </w:r>
            <w:r>
              <w:rPr>
                <w:rFonts w:ascii="仿宋_GB2312" w:eastAsia="仿宋_GB2312" w:hAnsiTheme="minorEastAsia"/>
                <w:color w:val="000000" w:themeColor="text1"/>
              </w:rPr>
              <w:t>10.中央级 20.省级 30.地（市）级 40.县级 50.乡镇级 90.</w:t>
            </w:r>
            <w:r>
              <w:rPr>
                <w:rFonts w:hint="eastAsia" w:ascii="仿宋_GB2312" w:eastAsia="仿宋_GB2312" w:hAnsiTheme="minorEastAsia"/>
                <w:color w:val="000000" w:themeColor="text1"/>
              </w:rPr>
              <w:t>非预算单位</w:t>
            </w:r>
            <w:r>
              <w:rPr>
                <w:rFonts w:ascii="仿宋_GB2312" w:eastAsia="仿宋_GB2312" w:hAnsi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93" w:type="dxa"/>
          <w:trHeight w:val="20" w:hRule="atLeast"/>
          <w:jc w:val="center"/>
        </w:trPr>
        <w:tc>
          <w:tcPr>
            <w:tcW w:w="7023" w:type="dxa"/>
            <w:gridSpan w:val="8"/>
            <w:tcBorders>
              <w:right w:val="single" w:color="auto" w:sz="4" w:space="0"/>
            </w:tcBorders>
            <w:vAlign w:val="center"/>
          </w:tcPr>
          <w:p>
            <w:pPr>
              <w:widowControl/>
              <w:ind w:left="7200" w:hanging="7200" w:hangingChars="3000"/>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单位所在地区（国家标准：行政区划代码）：□□□□□□</w:t>
            </w:r>
          </w:p>
        </w:tc>
        <w:tc>
          <w:tcPr>
            <w:tcW w:w="7654" w:type="dxa"/>
            <w:gridSpan w:val="8"/>
            <w:tcBorders>
              <w:left w:val="single" w:color="auto" w:sz="4" w:space="0"/>
            </w:tcBorders>
            <w:vAlign w:val="center"/>
          </w:tcPr>
          <w:p>
            <w:pPr>
              <w:widowControl/>
              <w:ind w:left="7200" w:hanging="7200" w:hangingChars="3000"/>
              <w:rPr>
                <w:rFonts w:ascii="仿宋_GB2312" w:eastAsia="仿宋_GB2312" w:hAnsiTheme="minorEastAsia"/>
                <w:sz w:val="24"/>
              </w:rPr>
            </w:pPr>
            <w:r>
              <w:rPr>
                <w:rFonts w:hint="eastAsia" w:ascii="仿宋_GB2312" w:eastAsia="仿宋_GB2312" w:hAnsiTheme="minorEastAsia"/>
                <w:color w:val="000000" w:themeColor="text1"/>
                <w:sz w:val="24"/>
              </w:rPr>
              <w:t>支出功能分类：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trHeight w:val="20" w:hRule="atLeast"/>
          <w:jc w:val="center"/>
        </w:trPr>
        <w:tc>
          <w:tcPr>
            <w:tcW w:w="14677" w:type="dxa"/>
            <w:gridSpan w:val="16"/>
            <w:vAlign w:val="center"/>
          </w:tcPr>
          <w:p>
            <w:pPr>
              <w:widowControl/>
              <w:ind w:left="7200" w:hanging="7200" w:hangingChars="3000"/>
              <w:jc w:val="left"/>
              <w:rPr>
                <w:rFonts w:ascii="仿宋_GB2312" w:eastAsia="仿宋_GB2312" w:hAnsiTheme="minorEastAsia"/>
                <w:color w:val="000000" w:themeColor="text1"/>
                <w:sz w:val="24"/>
              </w:rPr>
            </w:pPr>
            <w:r>
              <w:rPr>
                <w:rFonts w:hint="eastAsia" w:ascii="仿宋_GB2312" w:eastAsia="仿宋_GB2312" w:hAnsiTheme="minorEastAsia"/>
                <w:sz w:val="24"/>
              </w:rPr>
              <w:t>年末在职人数：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jc w:val="left"/>
              <w:rPr>
                <w:rFonts w:ascii="仿宋_GB2312" w:eastAsia="仿宋_GB2312"/>
                <w:b/>
                <w:color w:val="000000" w:themeColor="text1"/>
                <w:sz w:val="28"/>
                <w:szCs w:val="28"/>
              </w:rPr>
            </w:pPr>
            <w:r>
              <w:rPr>
                <w:rFonts w:hint="eastAsia" w:ascii="仿宋_GB2312" w:eastAsia="仿宋_GB2312"/>
                <w:b/>
                <w:color w:val="000000" w:themeColor="text1"/>
                <w:sz w:val="28"/>
                <w:szCs w:val="28"/>
              </w:rPr>
              <w:t>第一部分：单位内部控制情况总体评价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hint="eastAsia" w:ascii="仿宋_GB2312" w:eastAsia="仿宋_GB2312"/>
                <w:sz w:val="24"/>
              </w:rPr>
              <w:t>本单位内控总体运行情况</w:t>
            </w:r>
          </w:p>
        </w:tc>
        <w:tc>
          <w:tcPr>
            <w:tcW w:w="11378" w:type="dxa"/>
            <w:gridSpan w:val="14"/>
            <w:vAlign w:val="center"/>
          </w:tcPr>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5170" w:type="dxa"/>
            <w:gridSpan w:val="17"/>
            <w:vAlign w:val="center"/>
          </w:tcPr>
          <w:p>
            <w:pPr>
              <w:widowControl/>
              <w:jc w:val="left"/>
              <w:rPr>
                <w:rFonts w:ascii="仿宋_GB2312" w:eastAsia="仿宋_GB2312"/>
                <w:b/>
                <w:color w:val="000000" w:themeColor="text1"/>
                <w:sz w:val="28"/>
                <w:szCs w:val="28"/>
              </w:rPr>
            </w:pPr>
            <w:r>
              <w:rPr>
                <w:rFonts w:hint="eastAsia" w:ascii="仿宋_GB2312" w:eastAsia="仿宋_GB2312"/>
                <w:b/>
                <w:color w:val="000000" w:themeColor="text1"/>
                <w:sz w:val="28"/>
                <w:szCs w:val="28"/>
              </w:rPr>
              <w:t>第二部分：单位内部控制总体成果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5" w:hRule="atLeast"/>
          <w:jc w:val="center"/>
        </w:trPr>
        <w:tc>
          <w:tcPr>
            <w:tcW w:w="15170" w:type="dxa"/>
            <w:gridSpan w:val="17"/>
            <w:vAlign w:val="center"/>
          </w:tcPr>
          <w:p>
            <w:pPr>
              <w:widowControl/>
              <w:jc w:val="left"/>
              <w:rPr>
                <w:rFonts w:ascii="仿宋_GB2312" w:eastAsia="仿宋_GB2312"/>
                <w:b/>
                <w:color w:val="000000" w:themeColor="text1"/>
                <w:sz w:val="28"/>
                <w:szCs w:val="28"/>
              </w:rPr>
            </w:pPr>
            <w:r>
              <w:rPr>
                <w:rFonts w:hint="eastAsia" w:ascii="仿宋_GB2312" w:eastAsia="仿宋_GB2312"/>
                <w:b/>
                <w:color w:val="000000" w:themeColor="text1"/>
                <w:sz w:val="24"/>
              </w:rPr>
              <w:t>一、单位层面内部控制情况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atLeast"/>
          <w:jc w:val="center"/>
        </w:trPr>
        <w:tc>
          <w:tcPr>
            <w:tcW w:w="15170" w:type="dxa"/>
            <w:gridSpan w:val="17"/>
            <w:vAlign w:val="center"/>
          </w:tcPr>
          <w:p>
            <w:pPr>
              <w:widowControl/>
              <w:jc w:val="left"/>
              <w:rPr>
                <w:rFonts w:ascii="仿宋_GB2312" w:eastAsia="仿宋_GB2312"/>
                <w:b/>
                <w:color w:val="000000" w:themeColor="text1"/>
                <w:sz w:val="24"/>
              </w:rPr>
            </w:pPr>
            <w:r>
              <w:rPr>
                <w:rFonts w:hint="eastAsia" w:ascii="仿宋_GB2312" w:eastAsia="仿宋_GB2312"/>
                <w:bCs/>
                <w:color w:val="000000" w:themeColor="text1"/>
                <w:sz w:val="24"/>
              </w:rPr>
              <w:t>（一）内部控制机构组成情况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8"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单位内部控制领导小组</w:t>
            </w:r>
          </w:p>
        </w:tc>
        <w:tc>
          <w:tcPr>
            <w:tcW w:w="3792" w:type="dxa"/>
            <w:gridSpan w:val="6"/>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单位内部控制领导小组负责人</w:t>
            </w:r>
          </w:p>
        </w:tc>
        <w:tc>
          <w:tcPr>
            <w:tcW w:w="3794" w:type="dxa"/>
            <w:gridSpan w:val="4"/>
            <w:vAlign w:val="center"/>
          </w:tcPr>
          <w:p>
            <w:pPr>
              <w:widowControl/>
              <w:jc w:val="left"/>
              <w:rPr>
                <w:rFonts w:ascii="仿宋_GB2312" w:hAnsi="楷体" w:eastAsia="仿宋_GB2312"/>
                <w:sz w:val="24"/>
              </w:rPr>
            </w:pPr>
            <w:r>
              <w:rPr>
                <w:rFonts w:hint="eastAsia" w:ascii="仿宋_GB2312" w:hAnsi="楷体" w:eastAsia="仿宋_GB2312"/>
                <w:sz w:val="24"/>
              </w:rPr>
              <w:t>单位负责人</w:t>
            </w:r>
            <w:r>
              <w:rPr>
                <w:rFonts w:ascii="仿宋_GB2312" w:hAnsi="楷体" w:eastAsia="仿宋_GB2312"/>
                <w:sz w:val="24"/>
              </w:rPr>
              <w:t>/分管财务领导/其他分管领导</w:t>
            </w:r>
          </w:p>
          <w:p>
            <w:pPr>
              <w:widowControl/>
              <w:jc w:val="left"/>
              <w:rPr>
                <w:rFonts w:ascii="仿宋_GB2312" w:hAnsi="楷体" w:eastAsia="仿宋_GB2312"/>
                <w:color w:val="000000" w:themeColor="text1"/>
                <w:sz w:val="24"/>
              </w:rPr>
            </w:pPr>
            <w:r>
              <w:rPr>
                <w:rFonts w:hint="eastAsia" w:ascii="仿宋_GB2312" w:hAnsi="楷体" w:eastAsia="仿宋_GB2312"/>
                <w:sz w:val="24"/>
              </w:rPr>
              <w:t>负责人姓名及岗位：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8" w:hRule="atLeast"/>
          <w:jc w:val="center"/>
        </w:trPr>
        <w:tc>
          <w:tcPr>
            <w:tcW w:w="3792" w:type="dxa"/>
            <w:gridSpan w:val="3"/>
            <w:tcBorders>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单位内部控制工作小组</w:t>
            </w:r>
          </w:p>
        </w:tc>
        <w:tc>
          <w:tcPr>
            <w:tcW w:w="3792" w:type="dxa"/>
            <w:gridSpan w:val="6"/>
            <w:tcBorders>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tcBorders>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单位内部控制工作小组负责人</w:t>
            </w:r>
          </w:p>
        </w:tc>
        <w:tc>
          <w:tcPr>
            <w:tcW w:w="3794" w:type="dxa"/>
            <w:gridSpan w:val="4"/>
            <w:tcBorders>
              <w:left w:val="single" w:color="auto" w:sz="4" w:space="0"/>
              <w:bottom w:val="single" w:color="auto" w:sz="4" w:space="0"/>
              <w:right w:val="single" w:color="auto" w:sz="4" w:space="0"/>
            </w:tcBorders>
            <w:vAlign w:val="center"/>
          </w:tcPr>
          <w:p>
            <w:pPr>
              <w:widowControl/>
              <w:jc w:val="left"/>
              <w:rPr>
                <w:rFonts w:ascii="仿宋_GB2312" w:hAnsi="楷体" w:eastAsia="仿宋_GB2312"/>
                <w:sz w:val="24"/>
              </w:rPr>
            </w:pPr>
            <w:r>
              <w:rPr>
                <w:rFonts w:hint="eastAsia" w:ascii="仿宋_GB2312" w:hAnsi="楷体" w:eastAsia="仿宋_GB2312"/>
                <w:sz w:val="24"/>
              </w:rPr>
              <w:t>行政管理部门负责人</w:t>
            </w:r>
            <w:r>
              <w:rPr>
                <w:rFonts w:ascii="仿宋_GB2312" w:hAnsi="楷体" w:eastAsia="仿宋_GB2312"/>
                <w:sz w:val="24"/>
              </w:rPr>
              <w:t>/</w:t>
            </w:r>
            <w:r>
              <w:rPr>
                <w:rFonts w:hint="eastAsia" w:ascii="仿宋_GB2312" w:hAnsi="楷体" w:eastAsia="仿宋_GB2312"/>
                <w:sz w:val="24"/>
              </w:rPr>
              <w:t>财务部门负责人</w:t>
            </w:r>
            <w:r>
              <w:rPr>
                <w:rFonts w:ascii="仿宋_GB2312" w:hAnsi="楷体" w:eastAsia="仿宋_GB2312"/>
                <w:sz w:val="24"/>
              </w:rPr>
              <w:t>/</w:t>
            </w:r>
            <w:r>
              <w:rPr>
                <w:rFonts w:hint="eastAsia" w:ascii="仿宋_GB2312" w:hAnsi="楷体" w:eastAsia="仿宋_GB2312"/>
                <w:sz w:val="24"/>
              </w:rPr>
              <w:t>内审部门负责人</w:t>
            </w:r>
            <w:r>
              <w:rPr>
                <w:rFonts w:ascii="仿宋_GB2312" w:hAnsi="楷体" w:eastAsia="仿宋_GB2312"/>
                <w:sz w:val="24"/>
              </w:rPr>
              <w:t>/</w:t>
            </w:r>
            <w:r>
              <w:rPr>
                <w:rFonts w:hint="eastAsia" w:ascii="仿宋_GB2312" w:hAnsi="楷体" w:eastAsia="仿宋_GB2312"/>
                <w:sz w:val="24"/>
              </w:rPr>
              <w:t>其他</w:t>
            </w:r>
          </w:p>
          <w:p>
            <w:pPr>
              <w:widowControl/>
              <w:jc w:val="left"/>
              <w:rPr>
                <w:rFonts w:ascii="仿宋_GB2312" w:hAnsi="楷体" w:eastAsia="仿宋_GB2312"/>
                <w:color w:val="000000" w:themeColor="text1"/>
                <w:sz w:val="24"/>
              </w:rPr>
            </w:pPr>
            <w:r>
              <w:rPr>
                <w:rFonts w:hint="eastAsia" w:ascii="仿宋_GB2312" w:hAnsi="楷体" w:eastAsia="仿宋_GB2312"/>
                <w:sz w:val="24"/>
              </w:rPr>
              <w:t>负责人姓名及岗位：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5" w:hRule="atLeast"/>
          <w:jc w:val="center"/>
        </w:trPr>
        <w:tc>
          <w:tcPr>
            <w:tcW w:w="379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内部控制建设牵头部门</w:t>
            </w:r>
          </w:p>
        </w:tc>
        <w:tc>
          <w:tcPr>
            <w:tcW w:w="3792"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hint="eastAsia" w:ascii="仿宋_GB2312" w:hAnsi="楷体" w:eastAsia="仿宋_GB2312"/>
                <w:sz w:val="24"/>
              </w:rPr>
              <w:t>行政管理部门</w:t>
            </w:r>
            <w:r>
              <w:rPr>
                <w:rFonts w:ascii="仿宋_GB2312" w:hAnsi="楷体" w:eastAsia="仿宋_GB2312"/>
                <w:sz w:val="24"/>
              </w:rPr>
              <w:t>/</w:t>
            </w:r>
            <w:r>
              <w:rPr>
                <w:rFonts w:hint="eastAsia" w:ascii="仿宋_GB2312" w:hAnsi="楷体" w:eastAsia="仿宋_GB2312"/>
                <w:sz w:val="24"/>
              </w:rPr>
              <w:t>财务部门</w:t>
            </w:r>
            <w:r>
              <w:rPr>
                <w:rFonts w:ascii="仿宋_GB2312" w:hAnsi="楷体" w:eastAsia="仿宋_GB2312"/>
                <w:sz w:val="24"/>
              </w:rPr>
              <w:t>/</w:t>
            </w:r>
            <w:r>
              <w:rPr>
                <w:rFonts w:hint="eastAsia" w:ascii="仿宋_GB2312" w:hAnsi="楷体" w:eastAsia="仿宋_GB2312"/>
                <w:sz w:val="24"/>
              </w:rPr>
              <w:t>内审部门</w:t>
            </w:r>
            <w:r>
              <w:rPr>
                <w:rFonts w:ascii="仿宋_GB2312" w:hAnsi="楷体" w:eastAsia="仿宋_GB2312"/>
                <w:sz w:val="24"/>
              </w:rPr>
              <w:t>/</w:t>
            </w:r>
            <w:r>
              <w:rPr>
                <w:rFonts w:hint="eastAsia" w:ascii="仿宋_GB2312" w:hAnsi="楷体" w:eastAsia="仿宋_GB2312"/>
                <w:sz w:val="24"/>
              </w:rPr>
              <w:t>纪检监察部门</w:t>
            </w:r>
            <w:r>
              <w:rPr>
                <w:rFonts w:ascii="仿宋_GB2312" w:hAnsi="楷体" w:eastAsia="仿宋_GB2312"/>
                <w:sz w:val="24"/>
              </w:rPr>
              <w:t>/</w:t>
            </w:r>
            <w:r>
              <w:rPr>
                <w:rFonts w:hint="eastAsia" w:ascii="仿宋_GB2312" w:hAnsi="楷体" w:eastAsia="仿宋_GB2312"/>
                <w:sz w:val="24"/>
              </w:rPr>
              <w:t>其他部门</w:t>
            </w:r>
            <w:r>
              <w:rPr>
                <w:rFonts w:ascii="仿宋_GB2312" w:hAnsi="楷体" w:eastAsia="仿宋_GB2312"/>
                <w:sz w:val="24"/>
              </w:rPr>
              <w:t>/</w:t>
            </w:r>
            <w:r>
              <w:rPr>
                <w:rFonts w:hint="eastAsia" w:ascii="仿宋_GB2312" w:hAnsi="楷体" w:eastAsia="仿宋_GB2312"/>
                <w:sz w:val="24"/>
              </w:rPr>
              <w:t>未设置</w:t>
            </w:r>
          </w:p>
        </w:tc>
        <w:tc>
          <w:tcPr>
            <w:tcW w:w="379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内部控制评价与监督部门</w:t>
            </w:r>
          </w:p>
        </w:tc>
        <w:tc>
          <w:tcPr>
            <w:tcW w:w="3794"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 w:eastAsia="仿宋_GB2312"/>
                <w:color w:val="000000" w:themeColor="text1"/>
                <w:sz w:val="24"/>
              </w:rPr>
            </w:pPr>
            <w:r>
              <w:rPr>
                <w:rFonts w:hint="eastAsia" w:ascii="仿宋_GB2312" w:hAnsi="楷体" w:eastAsia="仿宋_GB2312"/>
                <w:sz w:val="24"/>
              </w:rPr>
              <w:t>行政管理部门</w:t>
            </w:r>
            <w:r>
              <w:rPr>
                <w:rFonts w:ascii="仿宋_GB2312" w:hAnsi="楷体" w:eastAsia="仿宋_GB2312"/>
                <w:sz w:val="24"/>
              </w:rPr>
              <w:t>/</w:t>
            </w:r>
            <w:r>
              <w:rPr>
                <w:rFonts w:hint="eastAsia" w:ascii="仿宋_GB2312" w:hAnsi="楷体" w:eastAsia="仿宋_GB2312"/>
                <w:sz w:val="24"/>
              </w:rPr>
              <w:t>财务部门</w:t>
            </w:r>
            <w:r>
              <w:rPr>
                <w:rFonts w:ascii="仿宋_GB2312" w:hAnsi="楷体" w:eastAsia="仿宋_GB2312"/>
                <w:sz w:val="24"/>
              </w:rPr>
              <w:t>/</w:t>
            </w:r>
            <w:r>
              <w:rPr>
                <w:rFonts w:hint="eastAsia" w:ascii="仿宋_GB2312" w:hAnsi="楷体" w:eastAsia="仿宋_GB2312"/>
                <w:sz w:val="24"/>
              </w:rPr>
              <w:t>内审部门</w:t>
            </w:r>
            <w:r>
              <w:rPr>
                <w:rFonts w:ascii="仿宋_GB2312" w:hAnsi="楷体" w:eastAsia="仿宋_GB2312"/>
                <w:sz w:val="24"/>
              </w:rPr>
              <w:t>/</w:t>
            </w:r>
            <w:r>
              <w:rPr>
                <w:rFonts w:hint="eastAsia" w:ascii="仿宋_GB2312" w:hAnsi="楷体" w:eastAsia="仿宋_GB2312"/>
                <w:sz w:val="24"/>
              </w:rPr>
              <w:t>纪检监察部门</w:t>
            </w:r>
            <w:r>
              <w:rPr>
                <w:rFonts w:ascii="仿宋_GB2312" w:hAnsi="楷体" w:eastAsia="仿宋_GB2312"/>
                <w:sz w:val="24"/>
              </w:rPr>
              <w:t>/</w:t>
            </w:r>
            <w:r>
              <w:rPr>
                <w:rFonts w:hint="eastAsia" w:ascii="仿宋_GB2312" w:hAnsi="楷体" w:eastAsia="仿宋_GB2312"/>
                <w:sz w:val="24"/>
              </w:rPr>
              <w:t>其他部门</w:t>
            </w:r>
            <w:r>
              <w:rPr>
                <w:rFonts w:ascii="仿宋_GB2312" w:hAnsi="楷体" w:eastAsia="仿宋_GB2312"/>
                <w:sz w:val="24"/>
              </w:rPr>
              <w:t>/</w:t>
            </w:r>
            <w:r>
              <w:rPr>
                <w:rFonts w:hint="eastAsia" w:ascii="仿宋_GB2312" w:hAnsi="楷体" w:eastAsia="仿宋_GB2312"/>
                <w:sz w:val="24"/>
              </w:rPr>
              <w:t>未设置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5170" w:type="dxa"/>
            <w:gridSpan w:val="17"/>
            <w:vAlign w:val="center"/>
          </w:tcPr>
          <w:p>
            <w:pPr>
              <w:widowControl/>
              <w:jc w:val="left"/>
              <w:rPr>
                <w:rFonts w:ascii="仿宋_GB2312" w:hAnsi="楷体" w:eastAsia="仿宋_GB2312"/>
                <w:bCs/>
                <w:color w:val="000000" w:themeColor="text1"/>
                <w:sz w:val="24"/>
              </w:rPr>
            </w:pPr>
            <w:r>
              <w:rPr>
                <w:rFonts w:hint="eastAsia" w:ascii="仿宋_GB2312" w:eastAsia="仿宋_GB2312"/>
                <w:bCs/>
                <w:color w:val="000000" w:themeColor="text1"/>
                <w:sz w:val="24"/>
              </w:rPr>
              <w:t>（二）内部控制机构运行情况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9"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本年单位内部控制领导小组会议次数</w:t>
            </w:r>
          </w:p>
        </w:tc>
        <w:tc>
          <w:tcPr>
            <w:tcW w:w="3792" w:type="dxa"/>
            <w:gridSpan w:val="6"/>
            <w:vAlign w:val="center"/>
          </w:tcPr>
          <w:p>
            <w:pPr>
              <w:widowControl/>
              <w:jc w:val="left"/>
              <w:rPr>
                <w:rFonts w:ascii="仿宋_GB2312" w:hAnsi="楷体" w:eastAsia="仿宋_GB2312"/>
                <w:sz w:val="24"/>
              </w:rPr>
            </w:pPr>
          </w:p>
        </w:tc>
        <w:tc>
          <w:tcPr>
            <w:tcW w:w="3792" w:type="dxa"/>
            <w:gridSpan w:val="4"/>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本年单位开展内部控制专题培训次数</w:t>
            </w:r>
          </w:p>
        </w:tc>
        <w:tc>
          <w:tcPr>
            <w:tcW w:w="3794" w:type="dxa"/>
            <w:gridSpan w:val="4"/>
            <w:vAlign w:val="center"/>
          </w:tcPr>
          <w:p>
            <w:pPr>
              <w:widowControl/>
              <w:jc w:val="left"/>
              <w:rPr>
                <w:rFonts w:ascii="仿宋_GB2312" w:hAnsi="楷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本年单位内部控制风险评估覆盖情况（单位层面）</w:t>
            </w:r>
          </w:p>
        </w:tc>
        <w:tc>
          <w:tcPr>
            <w:tcW w:w="3792" w:type="dxa"/>
            <w:gridSpan w:val="6"/>
            <w:vAlign w:val="center"/>
          </w:tcPr>
          <w:p>
            <w:pPr>
              <w:widowControl/>
              <w:jc w:val="left"/>
              <w:rPr>
                <w:rFonts w:ascii="仿宋_GB2312" w:hAnsi="楷体" w:eastAsia="仿宋_GB2312"/>
                <w:color w:val="000000" w:themeColor="text1"/>
                <w:sz w:val="24"/>
              </w:rPr>
            </w:pPr>
            <w:r>
              <w:rPr>
                <w:rFonts w:hint="eastAsia" w:ascii="仿宋_GB2312" w:hAnsi="楷体" w:eastAsia="仿宋_GB2312"/>
                <w:sz w:val="24"/>
              </w:rPr>
              <w:t>未评估</w:t>
            </w:r>
            <w:r>
              <w:rPr>
                <w:rFonts w:ascii="仿宋_GB2312" w:hAnsi="楷体" w:eastAsia="仿宋_GB2312"/>
                <w:sz w:val="24"/>
              </w:rPr>
              <w:t>/</w:t>
            </w:r>
            <w:r>
              <w:rPr>
                <w:rFonts w:hint="eastAsia" w:ascii="仿宋_GB2312" w:hAnsi="楷体" w:eastAsia="仿宋_GB2312"/>
                <w:sz w:val="24"/>
              </w:rPr>
              <w:t>组织架构</w:t>
            </w:r>
            <w:r>
              <w:rPr>
                <w:rFonts w:ascii="仿宋_GB2312" w:hAnsi="楷体" w:eastAsia="仿宋_GB2312"/>
                <w:sz w:val="24"/>
              </w:rPr>
              <w:t>/</w:t>
            </w:r>
            <w:r>
              <w:rPr>
                <w:rFonts w:hint="eastAsia" w:ascii="仿宋_GB2312" w:hAnsi="楷体" w:eastAsia="仿宋_GB2312"/>
                <w:sz w:val="24"/>
              </w:rPr>
              <w:t>运行机制</w:t>
            </w:r>
            <w:r>
              <w:rPr>
                <w:rFonts w:ascii="仿宋_GB2312" w:hAnsi="楷体" w:eastAsia="仿宋_GB2312"/>
                <w:sz w:val="24"/>
              </w:rPr>
              <w:t>/</w:t>
            </w:r>
            <w:r>
              <w:rPr>
                <w:rFonts w:hint="eastAsia" w:ascii="仿宋_GB2312" w:hAnsi="楷体" w:eastAsia="仿宋_GB2312"/>
                <w:sz w:val="24"/>
              </w:rPr>
              <w:t>关键岗位</w:t>
            </w:r>
            <w:r>
              <w:rPr>
                <w:rFonts w:ascii="仿宋_GB2312" w:hAnsi="楷体" w:eastAsia="仿宋_GB2312"/>
                <w:sz w:val="24"/>
              </w:rPr>
              <w:t>/</w:t>
            </w:r>
            <w:r>
              <w:rPr>
                <w:rFonts w:hint="eastAsia" w:ascii="仿宋_GB2312" w:hAnsi="楷体" w:eastAsia="仿宋_GB2312"/>
                <w:sz w:val="24"/>
              </w:rPr>
              <w:t>制度体系</w:t>
            </w:r>
            <w:r>
              <w:rPr>
                <w:rFonts w:ascii="仿宋_GB2312" w:hAnsi="楷体" w:eastAsia="仿宋_GB2312"/>
                <w:sz w:val="24"/>
              </w:rPr>
              <w:t>/</w:t>
            </w:r>
            <w:r>
              <w:rPr>
                <w:rFonts w:hint="eastAsia" w:ascii="仿宋_GB2312" w:hAnsi="楷体" w:eastAsia="仿宋_GB2312"/>
                <w:sz w:val="24"/>
              </w:rPr>
              <w:t>信息系统</w:t>
            </w:r>
          </w:p>
        </w:tc>
        <w:tc>
          <w:tcPr>
            <w:tcW w:w="3792" w:type="dxa"/>
            <w:gridSpan w:val="4"/>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本年单位内部控制风险评估覆盖情况（业务层面）</w:t>
            </w:r>
          </w:p>
        </w:tc>
        <w:tc>
          <w:tcPr>
            <w:tcW w:w="3794" w:type="dxa"/>
            <w:gridSpan w:val="4"/>
            <w:vAlign w:val="center"/>
          </w:tcPr>
          <w:p>
            <w:pPr>
              <w:widowControl/>
              <w:jc w:val="left"/>
              <w:rPr>
                <w:rFonts w:ascii="仿宋_GB2312" w:hAnsi="楷体" w:eastAsia="仿宋_GB2312"/>
                <w:color w:val="000000" w:themeColor="text1"/>
                <w:sz w:val="24"/>
              </w:rPr>
            </w:pPr>
            <w:r>
              <w:rPr>
                <w:rFonts w:hint="eastAsia" w:ascii="仿宋_GB2312" w:hAnsi="楷体" w:eastAsia="仿宋_GB2312"/>
                <w:sz w:val="24"/>
              </w:rPr>
              <w:t>未评估</w:t>
            </w:r>
            <w:r>
              <w:rPr>
                <w:rFonts w:ascii="仿宋_GB2312" w:hAnsi="楷体" w:eastAsia="仿宋_GB2312"/>
                <w:sz w:val="24"/>
              </w:rPr>
              <w:t>/</w:t>
            </w:r>
            <w:r>
              <w:rPr>
                <w:rFonts w:hint="eastAsia" w:ascii="仿宋_GB2312" w:hAnsi="楷体" w:eastAsia="仿宋_GB2312"/>
                <w:sz w:val="24"/>
              </w:rPr>
              <w:t>预算业务</w:t>
            </w:r>
            <w:r>
              <w:rPr>
                <w:rFonts w:ascii="仿宋_GB2312" w:hAnsi="楷体" w:eastAsia="仿宋_GB2312"/>
                <w:sz w:val="24"/>
              </w:rPr>
              <w:t>/</w:t>
            </w:r>
            <w:r>
              <w:rPr>
                <w:rFonts w:hint="eastAsia" w:ascii="仿宋_GB2312" w:hAnsi="楷体" w:eastAsia="仿宋_GB2312"/>
                <w:sz w:val="24"/>
              </w:rPr>
              <w:t>收支业务</w:t>
            </w:r>
            <w:r>
              <w:rPr>
                <w:rFonts w:ascii="仿宋_GB2312" w:hAnsi="楷体" w:eastAsia="仿宋_GB2312"/>
                <w:sz w:val="24"/>
              </w:rPr>
              <w:t>/</w:t>
            </w:r>
            <w:r>
              <w:rPr>
                <w:rFonts w:hint="eastAsia" w:ascii="仿宋_GB2312" w:hAnsi="楷体" w:eastAsia="仿宋_GB2312"/>
                <w:sz w:val="24"/>
              </w:rPr>
              <w:t>政府采购业务</w:t>
            </w:r>
            <w:r>
              <w:rPr>
                <w:rFonts w:ascii="仿宋_GB2312" w:hAnsi="楷体" w:eastAsia="仿宋_GB2312"/>
                <w:sz w:val="24"/>
              </w:rPr>
              <w:t>/</w:t>
            </w:r>
            <w:r>
              <w:rPr>
                <w:rFonts w:hint="eastAsia" w:ascii="仿宋_GB2312" w:hAnsi="楷体" w:eastAsia="仿宋_GB2312"/>
                <w:sz w:val="24"/>
              </w:rPr>
              <w:t>国有资产业务</w:t>
            </w:r>
            <w:r>
              <w:rPr>
                <w:rFonts w:ascii="仿宋_GB2312" w:hAnsi="楷体" w:eastAsia="仿宋_GB2312"/>
                <w:sz w:val="24"/>
              </w:rPr>
              <w:t>/</w:t>
            </w:r>
            <w:r>
              <w:rPr>
                <w:rFonts w:hint="eastAsia" w:ascii="仿宋_GB2312" w:hAnsi="楷体" w:eastAsia="仿宋_GB2312"/>
                <w:sz w:val="24"/>
              </w:rPr>
              <w:t>建设项目业务</w:t>
            </w:r>
            <w:r>
              <w:rPr>
                <w:rFonts w:ascii="仿宋_GB2312" w:hAnsi="楷体" w:eastAsia="仿宋_GB2312"/>
                <w:sz w:val="24"/>
              </w:rPr>
              <w:t>/</w:t>
            </w:r>
            <w:r>
              <w:rPr>
                <w:rFonts w:hint="eastAsia" w:ascii="仿宋_GB2312" w:hAnsi="楷体" w:eastAsia="仿宋_GB2312"/>
                <w:sz w:val="24"/>
              </w:rPr>
              <w:t>合同业务</w:t>
            </w:r>
            <w:r>
              <w:rPr>
                <w:rFonts w:ascii="仿宋_GB2312" w:hAnsi="楷体" w:eastAsia="仿宋_GB2312"/>
                <w:sz w:val="24"/>
              </w:rPr>
              <w:t>/</w:t>
            </w:r>
            <w:r>
              <w:rPr>
                <w:rFonts w:hint="eastAsia" w:ascii="仿宋_GB2312" w:hAnsi="楷体" w:eastAsia="仿宋_GB2312"/>
                <w:sz w:val="24"/>
              </w:rPr>
              <w:t>其他业务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本年单位是否开展内部控制评价</w:t>
            </w:r>
          </w:p>
        </w:tc>
        <w:tc>
          <w:tcPr>
            <w:tcW w:w="3792" w:type="dxa"/>
            <w:gridSpan w:val="6"/>
            <w:vAlign w:val="center"/>
          </w:tcPr>
          <w:p>
            <w:pPr>
              <w:widowControl/>
              <w:jc w:val="left"/>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本年单位内部控制评价结果应用领域</w:t>
            </w:r>
          </w:p>
        </w:tc>
        <w:tc>
          <w:tcPr>
            <w:tcW w:w="3794" w:type="dxa"/>
            <w:gridSpan w:val="4"/>
            <w:vAlign w:val="center"/>
          </w:tcPr>
          <w:p>
            <w:pPr>
              <w:widowControl/>
              <w:jc w:val="left"/>
              <w:rPr>
                <w:rFonts w:ascii="仿宋_GB2312" w:hAnsi="楷体" w:eastAsia="仿宋_GB2312"/>
                <w:color w:val="000000" w:themeColor="text1"/>
                <w:sz w:val="24"/>
              </w:rPr>
            </w:pPr>
            <w:r>
              <w:rPr>
                <w:rFonts w:hint="eastAsia" w:ascii="仿宋_GB2312" w:hAnsi="楷体" w:eastAsia="仿宋_GB2312"/>
                <w:sz w:val="24"/>
              </w:rPr>
              <w:t>作为完善内部管理制度的依据</w:t>
            </w:r>
            <w:r>
              <w:rPr>
                <w:rFonts w:ascii="仿宋_GB2312" w:hAnsi="楷体" w:eastAsia="仿宋_GB2312"/>
                <w:sz w:val="24"/>
              </w:rPr>
              <w:t>/</w:t>
            </w:r>
            <w:r>
              <w:rPr>
                <w:rFonts w:hint="eastAsia" w:ascii="仿宋_GB2312" w:hAnsi="楷体" w:eastAsia="仿宋_GB2312"/>
                <w:sz w:val="24"/>
              </w:rPr>
              <w:t>作为监督问责的重要参考依据</w:t>
            </w:r>
            <w:r>
              <w:rPr>
                <w:rFonts w:ascii="仿宋_GB2312" w:hAnsi="楷体" w:eastAsia="仿宋_GB2312"/>
                <w:sz w:val="24"/>
              </w:rPr>
              <w:t>/</w:t>
            </w:r>
            <w:r>
              <w:rPr>
                <w:rFonts w:hint="eastAsia" w:ascii="仿宋_GB2312" w:hAnsi="楷体" w:eastAsia="仿宋_GB2312"/>
                <w:sz w:val="24"/>
              </w:rPr>
              <w:t>作为领导干部选拔任用的参考</w:t>
            </w:r>
            <w:r>
              <w:rPr>
                <w:rFonts w:ascii="仿宋_GB2312" w:hAnsi="楷体" w:eastAsia="仿宋_GB2312"/>
                <w:sz w:val="24"/>
              </w:rPr>
              <w:t>/</w:t>
            </w:r>
            <w:r>
              <w:rPr>
                <w:rFonts w:hint="eastAsia" w:ascii="仿宋_GB2312" w:hAnsi="楷体"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7.</w:t>
            </w:r>
            <w:r>
              <w:rPr>
                <w:rFonts w:hint="eastAsia" w:ascii="仿宋_GB2312" w:eastAsia="仿宋_GB2312"/>
                <w:color w:val="000000" w:themeColor="text1"/>
                <w:sz w:val="24"/>
              </w:rPr>
              <w:t>本年单位内部控制评价</w:t>
            </w:r>
            <w:r>
              <w:rPr>
                <w:rFonts w:hint="eastAsia" w:ascii="仿宋_GB2312" w:eastAsia="仿宋_GB2312" w:hAnsiTheme="minorEastAsia"/>
                <w:color w:val="000000" w:themeColor="text1"/>
                <w:sz w:val="24"/>
              </w:rPr>
              <w:t>结果运用效果</w:t>
            </w:r>
          </w:p>
        </w:tc>
        <w:tc>
          <w:tcPr>
            <w:tcW w:w="11378" w:type="dxa"/>
            <w:gridSpan w:val="14"/>
            <w:vAlign w:val="center"/>
          </w:tcPr>
          <w:p>
            <w:pPr>
              <w:widowControl/>
              <w:jc w:val="left"/>
              <w:rPr>
                <w:rFonts w:ascii="仿宋_GB2312" w:hAnsi="楷体" w:eastAsia="仿宋_GB2312"/>
                <w:sz w:val="24"/>
              </w:rPr>
            </w:pPr>
            <w:r>
              <w:rPr>
                <w:rFonts w:hint="eastAsia" w:ascii="仿宋_GB2312" w:hAnsi="楷体" w:eastAsia="仿宋_GB2312"/>
                <w:sz w:val="24"/>
              </w:rPr>
              <w:t>内部控制评价发现的内部控制相关问题总数：</w:t>
            </w:r>
          </w:p>
          <w:p>
            <w:pPr>
              <w:widowControl/>
              <w:jc w:val="left"/>
              <w:rPr>
                <w:rFonts w:ascii="仿宋_GB2312" w:hAnsi="楷体" w:eastAsia="仿宋_GB2312"/>
                <w:sz w:val="24"/>
              </w:rPr>
            </w:pPr>
            <w:r>
              <w:rPr>
                <w:rFonts w:hint="eastAsia" w:ascii="仿宋_GB2312" w:hAnsi="楷体" w:eastAsia="仿宋_GB2312"/>
                <w:sz w:val="24"/>
              </w:rPr>
              <w:t>针对发现问题通过内部控制体系调整优化及严格执行进行整改的问题数量：</w:t>
            </w:r>
          </w:p>
          <w:p>
            <w:pPr>
              <w:widowControl/>
              <w:jc w:val="left"/>
              <w:rPr>
                <w:rFonts w:ascii="仿宋_GB2312" w:hAnsi="楷体" w:eastAsia="仿宋_GB2312"/>
                <w:sz w:val="24"/>
              </w:rPr>
            </w:pPr>
            <w:r>
              <w:rPr>
                <w:rFonts w:hint="eastAsia" w:ascii="仿宋_GB2312" w:hAnsi="楷体" w:eastAsia="仿宋_GB2312"/>
                <w:sz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8.</w:t>
            </w:r>
            <w:r>
              <w:rPr>
                <w:rFonts w:hint="eastAsia" w:ascii="仿宋_GB2312" w:eastAsia="仿宋_GB2312"/>
                <w:color w:val="000000" w:themeColor="text1"/>
                <w:sz w:val="24"/>
              </w:rPr>
              <w:t>本年单位与内部控制相关的巡视结果运用效果</w:t>
            </w:r>
          </w:p>
        </w:tc>
        <w:tc>
          <w:tcPr>
            <w:tcW w:w="11378" w:type="dxa"/>
            <w:gridSpan w:val="14"/>
            <w:vAlign w:val="center"/>
          </w:tcPr>
          <w:p>
            <w:pPr>
              <w:widowControl/>
              <w:jc w:val="left"/>
              <w:rPr>
                <w:rFonts w:ascii="仿宋_GB2312" w:hAnsi="楷体" w:eastAsia="仿宋_GB2312"/>
                <w:sz w:val="24"/>
              </w:rPr>
            </w:pPr>
            <w:r>
              <w:rPr>
                <w:rFonts w:hint="eastAsia" w:ascii="仿宋_GB2312" w:hAnsi="楷体" w:eastAsia="仿宋_GB2312"/>
                <w:sz w:val="24"/>
              </w:rPr>
              <w:t>巡视发现的内部控制相关问题总数：</w:t>
            </w:r>
          </w:p>
          <w:p>
            <w:pPr>
              <w:widowControl/>
              <w:jc w:val="left"/>
              <w:rPr>
                <w:rFonts w:ascii="仿宋_GB2312" w:hAnsi="楷体" w:eastAsia="仿宋_GB2312"/>
                <w:sz w:val="24"/>
              </w:rPr>
            </w:pPr>
            <w:r>
              <w:rPr>
                <w:rFonts w:hint="eastAsia" w:ascii="仿宋_GB2312" w:hAnsi="楷体" w:eastAsia="仿宋_GB2312"/>
                <w:sz w:val="24"/>
              </w:rPr>
              <w:t>针对发现问题通过内部控制体系调整优化及严格执行进行整改的问题数量：</w:t>
            </w:r>
          </w:p>
          <w:p>
            <w:pPr>
              <w:widowControl/>
              <w:jc w:val="left"/>
              <w:rPr>
                <w:rFonts w:ascii="仿宋_GB2312" w:hAnsi="楷体" w:eastAsia="仿宋_GB2312"/>
                <w:sz w:val="24"/>
              </w:rPr>
            </w:pPr>
            <w:r>
              <w:rPr>
                <w:rFonts w:hint="eastAsia" w:ascii="仿宋_GB2312" w:hAnsi="楷体" w:eastAsia="仿宋_GB2312"/>
                <w:sz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9.</w:t>
            </w:r>
            <w:r>
              <w:rPr>
                <w:rFonts w:hint="eastAsia" w:ascii="仿宋_GB2312" w:eastAsia="仿宋_GB2312"/>
                <w:color w:val="000000" w:themeColor="text1"/>
                <w:sz w:val="24"/>
              </w:rPr>
              <w:t>本年单位与内部控制相关的纪检监察</w:t>
            </w:r>
            <w:r>
              <w:rPr>
                <w:rFonts w:hint="eastAsia" w:ascii="仿宋_GB2312" w:eastAsia="仿宋_GB2312" w:hAnsiTheme="minorEastAsia"/>
                <w:color w:val="000000" w:themeColor="text1"/>
                <w:sz w:val="24"/>
              </w:rPr>
              <w:t>结果运用效果</w:t>
            </w:r>
          </w:p>
        </w:tc>
        <w:tc>
          <w:tcPr>
            <w:tcW w:w="11378" w:type="dxa"/>
            <w:gridSpan w:val="14"/>
            <w:vAlign w:val="center"/>
          </w:tcPr>
          <w:p>
            <w:pPr>
              <w:widowControl/>
              <w:jc w:val="left"/>
              <w:rPr>
                <w:rFonts w:ascii="仿宋_GB2312" w:hAnsi="楷体" w:eastAsia="仿宋_GB2312"/>
                <w:sz w:val="24"/>
              </w:rPr>
            </w:pPr>
            <w:r>
              <w:rPr>
                <w:rFonts w:hint="eastAsia" w:ascii="仿宋_GB2312" w:hAnsi="楷体" w:eastAsia="仿宋_GB2312"/>
                <w:sz w:val="24"/>
              </w:rPr>
              <w:t>纪检监察发现的内部控制相关问题总数：</w:t>
            </w:r>
          </w:p>
          <w:p>
            <w:pPr>
              <w:widowControl/>
              <w:jc w:val="left"/>
              <w:rPr>
                <w:rFonts w:ascii="仿宋_GB2312" w:hAnsi="楷体" w:eastAsia="仿宋_GB2312"/>
                <w:sz w:val="24"/>
              </w:rPr>
            </w:pPr>
            <w:r>
              <w:rPr>
                <w:rFonts w:hint="eastAsia" w:ascii="仿宋_GB2312" w:hAnsi="楷体" w:eastAsia="仿宋_GB2312"/>
                <w:sz w:val="24"/>
              </w:rPr>
              <w:t>针对发现问题通过内部控制体系调整优化及严格执行进行整改的问题数量：</w:t>
            </w:r>
          </w:p>
          <w:p>
            <w:pPr>
              <w:widowControl/>
              <w:jc w:val="left"/>
              <w:rPr>
                <w:rFonts w:ascii="仿宋_GB2312" w:hAnsi="楷体" w:eastAsia="仿宋_GB2312"/>
                <w:sz w:val="24"/>
              </w:rPr>
            </w:pPr>
            <w:r>
              <w:rPr>
                <w:rFonts w:hint="eastAsia" w:ascii="仿宋_GB2312" w:hAnsi="楷体" w:eastAsia="仿宋_GB2312"/>
                <w:sz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10.</w:t>
            </w:r>
            <w:r>
              <w:rPr>
                <w:rFonts w:hint="eastAsia" w:ascii="仿宋_GB2312" w:eastAsia="仿宋_GB2312"/>
                <w:color w:val="000000" w:themeColor="text1"/>
                <w:sz w:val="24"/>
              </w:rPr>
              <w:t>本年单位与内部控制相关的审计</w:t>
            </w:r>
            <w:r>
              <w:rPr>
                <w:rFonts w:hint="eastAsia" w:ascii="仿宋_GB2312" w:eastAsia="仿宋_GB2312" w:hAnsiTheme="minorEastAsia"/>
                <w:color w:val="000000" w:themeColor="text1"/>
                <w:sz w:val="24"/>
              </w:rPr>
              <w:t>结果运用效果</w:t>
            </w:r>
          </w:p>
        </w:tc>
        <w:tc>
          <w:tcPr>
            <w:tcW w:w="11378" w:type="dxa"/>
            <w:gridSpan w:val="14"/>
            <w:vAlign w:val="center"/>
          </w:tcPr>
          <w:p>
            <w:pPr>
              <w:widowControl/>
              <w:jc w:val="left"/>
              <w:rPr>
                <w:rFonts w:ascii="仿宋_GB2312" w:hAnsi="楷体" w:eastAsia="仿宋_GB2312"/>
                <w:sz w:val="24"/>
              </w:rPr>
            </w:pPr>
            <w:r>
              <w:rPr>
                <w:rFonts w:hint="eastAsia" w:ascii="仿宋_GB2312" w:hAnsi="楷体" w:eastAsia="仿宋_GB2312"/>
                <w:sz w:val="24"/>
              </w:rPr>
              <w:t>审计发现的内部控制相关问题总数：</w:t>
            </w:r>
          </w:p>
          <w:p>
            <w:pPr>
              <w:widowControl/>
              <w:jc w:val="left"/>
              <w:rPr>
                <w:rFonts w:ascii="仿宋_GB2312" w:hAnsi="楷体" w:eastAsia="仿宋_GB2312"/>
                <w:sz w:val="24"/>
              </w:rPr>
            </w:pPr>
            <w:r>
              <w:rPr>
                <w:rFonts w:hint="eastAsia" w:ascii="仿宋_GB2312" w:hAnsi="楷体" w:eastAsia="仿宋_GB2312"/>
                <w:sz w:val="24"/>
              </w:rPr>
              <w:t>针对发现问题通过内部控制体系调整优化及严格执行进行整改的问题数量：</w:t>
            </w:r>
          </w:p>
          <w:p>
            <w:pPr>
              <w:widowControl/>
              <w:jc w:val="left"/>
              <w:rPr>
                <w:rFonts w:ascii="仿宋_GB2312" w:hAnsi="楷体" w:eastAsia="仿宋_GB2312"/>
                <w:sz w:val="24"/>
              </w:rPr>
            </w:pPr>
            <w:r>
              <w:rPr>
                <w:rFonts w:hint="eastAsia" w:ascii="仿宋_GB2312" w:hAnsi="楷体" w:eastAsia="仿宋_GB2312"/>
                <w:sz w:val="24"/>
              </w:rPr>
              <w:t>整改完成情况：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hAnsi="楷体" w:eastAsia="仿宋_GB2312"/>
                <w:color w:val="000000" w:themeColor="text1"/>
                <w:sz w:val="24"/>
              </w:rPr>
            </w:pPr>
            <w:r>
              <w:rPr>
                <w:rFonts w:hint="eastAsia" w:ascii="仿宋_GB2312" w:eastAsia="仿宋_GB2312" w:hAnsiTheme="minorEastAsia"/>
                <w:color w:val="000000" w:themeColor="text1"/>
                <w:sz w:val="24"/>
              </w:rPr>
              <w:t>（三）</w:t>
            </w:r>
            <w:r>
              <w:rPr>
                <w:rFonts w:hint="eastAsia" w:ascii="仿宋_GB2312" w:eastAsia="仿宋_GB2312"/>
                <w:color w:val="000000" w:themeColor="text1"/>
                <w:sz w:val="24"/>
              </w:rPr>
              <w:t>权力运行制衡机制建立情况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rPr>
                <w:rFonts w:ascii="仿宋_GB2312" w:eastAsia="仿宋_GB2312"/>
                <w:color w:val="000000" w:themeColor="text1"/>
                <w:sz w:val="24"/>
              </w:rPr>
            </w:pPr>
            <w:r>
              <w:rPr>
                <w:rFonts w:ascii="仿宋_GB2312" w:eastAsia="仿宋_GB2312" w:hAnsiTheme="minorEastAsia"/>
                <w:color w:val="000000" w:themeColor="text1"/>
                <w:sz w:val="24"/>
              </w:rPr>
              <w:t>1.</w:t>
            </w:r>
            <w:r>
              <w:rPr>
                <w:rFonts w:hint="eastAsia" w:ascii="仿宋_GB2312" w:eastAsia="仿宋_GB2312" w:hAnsiTheme="minorEastAsia"/>
                <w:color w:val="000000" w:themeColor="text1"/>
                <w:sz w:val="24"/>
              </w:rPr>
              <w:t>分事行权</w:t>
            </w:r>
          </w:p>
        </w:tc>
        <w:tc>
          <w:tcPr>
            <w:tcW w:w="3792" w:type="dxa"/>
            <w:gridSpan w:val="6"/>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rPr>
                <w:rFonts w:ascii="仿宋_GB2312" w:eastAsia="仿宋_GB2312"/>
                <w:color w:val="000000" w:themeColor="text1"/>
                <w:sz w:val="24"/>
              </w:rPr>
            </w:pPr>
            <w:r>
              <w:rPr>
                <w:rFonts w:ascii="仿宋_GB2312" w:eastAsia="仿宋_GB2312" w:hAnsiTheme="minorEastAsia"/>
                <w:color w:val="000000" w:themeColor="text1"/>
                <w:sz w:val="24"/>
              </w:rPr>
              <w:t>2.</w:t>
            </w:r>
            <w:r>
              <w:rPr>
                <w:rFonts w:hint="eastAsia" w:ascii="仿宋_GB2312" w:eastAsia="仿宋_GB2312" w:hAnsiTheme="minorEastAsia"/>
                <w:color w:val="000000" w:themeColor="text1"/>
                <w:sz w:val="24"/>
              </w:rPr>
              <w:t>分岗设权</w:t>
            </w:r>
          </w:p>
        </w:tc>
        <w:tc>
          <w:tcPr>
            <w:tcW w:w="3794" w:type="dxa"/>
            <w:gridSpan w:val="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rPr>
                <w:rFonts w:ascii="仿宋_GB2312" w:eastAsia="仿宋_GB2312"/>
                <w:color w:val="000000" w:themeColor="text1"/>
                <w:sz w:val="24"/>
              </w:rPr>
            </w:pPr>
            <w:r>
              <w:rPr>
                <w:rFonts w:ascii="仿宋_GB2312" w:eastAsia="仿宋_GB2312" w:hAnsiTheme="minorEastAsia"/>
                <w:color w:val="000000" w:themeColor="text1"/>
                <w:sz w:val="24"/>
              </w:rPr>
              <w:t>3.</w:t>
            </w:r>
            <w:r>
              <w:rPr>
                <w:rFonts w:hint="eastAsia" w:ascii="仿宋_GB2312" w:eastAsia="仿宋_GB2312" w:hAnsiTheme="minorEastAsia"/>
                <w:color w:val="000000" w:themeColor="text1"/>
                <w:sz w:val="24"/>
              </w:rPr>
              <w:t>分级授权</w:t>
            </w:r>
          </w:p>
        </w:tc>
        <w:tc>
          <w:tcPr>
            <w:tcW w:w="3792" w:type="dxa"/>
            <w:gridSpan w:val="6"/>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rPr>
                <w:rFonts w:ascii="仿宋_GB2312" w:eastAsia="仿宋_GB2312"/>
                <w:color w:val="000000" w:themeColor="text1"/>
                <w:sz w:val="24"/>
              </w:rPr>
            </w:pPr>
            <w:r>
              <w:rPr>
                <w:rFonts w:ascii="仿宋_GB2312" w:eastAsia="仿宋_GB2312" w:hAnsiTheme="minorEastAsia"/>
                <w:color w:val="000000" w:themeColor="text1"/>
                <w:sz w:val="24"/>
              </w:rPr>
              <w:t>4.</w:t>
            </w:r>
            <w:r>
              <w:rPr>
                <w:rFonts w:hint="eastAsia" w:ascii="仿宋_GB2312" w:eastAsia="仿宋_GB2312" w:hAnsiTheme="minorEastAsia"/>
                <w:color w:val="000000" w:themeColor="text1"/>
                <w:sz w:val="24"/>
              </w:rPr>
              <w:t>定期轮岗</w:t>
            </w:r>
          </w:p>
        </w:tc>
        <w:tc>
          <w:tcPr>
            <w:tcW w:w="3794" w:type="dxa"/>
            <w:gridSpan w:val="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5.</w:t>
            </w:r>
            <w:r>
              <w:rPr>
                <w:rFonts w:hint="eastAsia" w:ascii="仿宋_GB2312" w:eastAsia="仿宋_GB2312" w:hAnsiTheme="minorEastAsia"/>
                <w:color w:val="000000" w:themeColor="text1"/>
                <w:sz w:val="24"/>
              </w:rPr>
              <w:t>专项审计</w:t>
            </w:r>
          </w:p>
        </w:tc>
        <w:tc>
          <w:tcPr>
            <w:tcW w:w="3792" w:type="dxa"/>
            <w:gridSpan w:val="6"/>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6.</w:t>
            </w:r>
            <w:r>
              <w:rPr>
                <w:rFonts w:hint="eastAsia" w:ascii="仿宋_GB2312" w:eastAsia="仿宋_GB2312" w:hAnsiTheme="minorEastAsia"/>
                <w:color w:val="000000" w:themeColor="text1"/>
                <w:sz w:val="24"/>
              </w:rPr>
              <w:t>职责明晰</w:t>
            </w:r>
          </w:p>
        </w:tc>
        <w:tc>
          <w:tcPr>
            <w:tcW w:w="3794" w:type="dxa"/>
            <w:gridSpan w:val="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7.</w:t>
            </w:r>
            <w:r>
              <w:rPr>
                <w:rFonts w:hint="eastAsia" w:ascii="仿宋_GB2312" w:eastAsia="仿宋_GB2312" w:hAnsiTheme="minorEastAsia"/>
                <w:color w:val="000000" w:themeColor="text1"/>
                <w:sz w:val="24"/>
              </w:rPr>
              <w:t>决策程序</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bCs/>
                <w:color w:val="000000" w:themeColor="text1"/>
                <w:sz w:val="24"/>
              </w:rPr>
            </w:pPr>
            <w:r>
              <w:rPr>
                <w:rFonts w:hint="eastAsia" w:ascii="仿宋_GB2312" w:eastAsia="仿宋_GB2312"/>
                <w:bCs/>
                <w:color w:val="000000" w:themeColor="text1"/>
                <w:sz w:val="24"/>
              </w:rPr>
              <w:t>（四）政府会计改革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3792"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1.</w:t>
            </w:r>
            <w:r>
              <w:rPr>
                <w:rFonts w:hint="eastAsia" w:ascii="仿宋_GB2312" w:eastAsia="仿宋_GB2312"/>
                <w:bCs/>
                <w:color w:val="000000" w:themeColor="text1"/>
                <w:sz w:val="24"/>
              </w:rPr>
              <w:t>单位是否应当执行政府会计准则制度</w:t>
            </w:r>
          </w:p>
        </w:tc>
        <w:tc>
          <w:tcPr>
            <w:tcW w:w="3792" w:type="dxa"/>
            <w:gridSpan w:val="6"/>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2.</w:t>
            </w:r>
            <w:r>
              <w:rPr>
                <w:rFonts w:hint="eastAsia" w:ascii="仿宋_GB2312" w:eastAsia="仿宋_GB2312"/>
                <w:bCs/>
                <w:color w:val="000000" w:themeColor="text1"/>
                <w:sz w:val="24"/>
              </w:rPr>
              <w:t>本年单位是否按照政府会计准则制度要求开展预算会计核算和财务会计核算</w:t>
            </w:r>
          </w:p>
        </w:tc>
        <w:tc>
          <w:tcPr>
            <w:tcW w:w="3794" w:type="dxa"/>
            <w:gridSpan w:val="4"/>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3792"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3.</w:t>
            </w:r>
            <w:r>
              <w:rPr>
                <w:rFonts w:hint="eastAsia" w:ascii="仿宋_GB2312" w:eastAsia="仿宋_GB2312"/>
                <w:bCs/>
                <w:color w:val="000000" w:themeColor="text1"/>
                <w:sz w:val="24"/>
              </w:rPr>
              <w:t>本年单位是否对固定资产和无形资产计提折旧或摊销</w:t>
            </w:r>
          </w:p>
        </w:tc>
        <w:tc>
          <w:tcPr>
            <w:tcW w:w="3792" w:type="dxa"/>
            <w:gridSpan w:val="6"/>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792" w:type="dxa"/>
            <w:gridSpan w:val="4"/>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4.</w:t>
            </w:r>
            <w:r>
              <w:rPr>
                <w:rFonts w:hint="eastAsia" w:ascii="仿宋_GB2312" w:eastAsia="仿宋_GB2312"/>
                <w:bCs/>
                <w:color w:val="000000" w:themeColor="text1"/>
                <w:sz w:val="24"/>
              </w:rPr>
              <w:t>本年编制政府部门财务报告时，部门及所属单位之间发生的经济业务或事项是否在抵销前进行确认</w:t>
            </w:r>
          </w:p>
        </w:tc>
        <w:tc>
          <w:tcPr>
            <w:tcW w:w="3794" w:type="dxa"/>
            <w:gridSpan w:val="4"/>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8" w:hRule="atLeast"/>
          <w:jc w:val="center"/>
        </w:trPr>
        <w:tc>
          <w:tcPr>
            <w:tcW w:w="3792" w:type="dxa"/>
            <w:gridSpan w:val="3"/>
            <w:vAlign w:val="center"/>
          </w:tcPr>
          <w:p>
            <w:pPr>
              <w:widowControl/>
              <w:rPr>
                <w:rFonts w:ascii="仿宋_GB2312" w:eastAsia="仿宋_GB2312"/>
                <w:b/>
                <w:bCs/>
                <w:color w:val="000000" w:themeColor="text1"/>
                <w:sz w:val="24"/>
              </w:rPr>
            </w:pPr>
            <w:r>
              <w:rPr>
                <w:rFonts w:ascii="仿宋_GB2312" w:eastAsia="仿宋_GB2312"/>
                <w:bCs/>
                <w:color w:val="000000" w:themeColor="text1"/>
                <w:sz w:val="24"/>
              </w:rPr>
              <w:t>5.</w:t>
            </w:r>
            <w:r>
              <w:rPr>
                <w:rFonts w:hint="eastAsia" w:ascii="仿宋_GB2312" w:eastAsia="仿宋_GB2312"/>
                <w:bCs/>
                <w:color w:val="000000" w:themeColor="text1"/>
                <w:sz w:val="24"/>
              </w:rPr>
              <w:t>单位是否将基本建设投资、公共基础设施、保障性住房、政府储备物资、国有文物文化资产等纳入统一账簿进行会计核算</w:t>
            </w:r>
          </w:p>
        </w:tc>
        <w:tc>
          <w:tcPr>
            <w:tcW w:w="11378" w:type="dxa"/>
            <w:gridSpan w:val="14"/>
            <w:vAlign w:val="center"/>
          </w:tcPr>
          <w:p>
            <w:pPr>
              <w:widowControl/>
              <w:rPr>
                <w:rFonts w:ascii="仿宋_GB2312" w:hAnsi="楷体" w:eastAsia="仿宋_GB2312" w:cs="楷体"/>
                <w:color w:val="000000" w:themeColor="text1"/>
                <w:sz w:val="24"/>
              </w:rPr>
            </w:pPr>
            <w:r>
              <w:rPr>
                <w:rFonts w:hint="eastAsia" w:ascii="仿宋_GB2312" w:hAnsi="楷体" w:eastAsia="仿宋_GB2312" w:cs="楷体"/>
                <w:bCs/>
                <w:color w:val="000000" w:themeColor="text1"/>
                <w:sz w:val="24"/>
              </w:rPr>
              <w:t>基本建设投资：</w:t>
            </w:r>
            <w:r>
              <w:rPr>
                <w:rFonts w:hint="eastAsia" w:ascii="仿宋_GB2312" w:hAnsi="楷体" w:eastAsia="仿宋_GB2312" w:cs="楷体"/>
                <w:color w:val="000000" w:themeColor="text1"/>
                <w:sz w:val="24"/>
              </w:rPr>
              <w:t>是</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否</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不适用</w:t>
            </w:r>
            <w:r>
              <w:rPr>
                <w:rFonts w:ascii="仿宋_GB2312" w:hAnsi="楷体" w:eastAsia="仿宋_GB2312" w:cs="楷体"/>
                <w:color w:val="000000" w:themeColor="text1"/>
                <w:sz w:val="24"/>
              </w:rPr>
              <w:t xml:space="preserve">          </w:t>
            </w:r>
            <w:r>
              <w:rPr>
                <w:rFonts w:hint="eastAsia" w:ascii="仿宋_GB2312" w:hAnsi="楷体" w:eastAsia="仿宋_GB2312" w:cs="楷体"/>
                <w:bCs/>
                <w:color w:val="000000" w:themeColor="text1"/>
                <w:sz w:val="24"/>
              </w:rPr>
              <w:t>公共基础设施：</w:t>
            </w:r>
            <w:r>
              <w:rPr>
                <w:rFonts w:hint="eastAsia" w:ascii="仿宋_GB2312" w:hAnsi="楷体" w:eastAsia="仿宋_GB2312" w:cs="楷体"/>
                <w:color w:val="000000" w:themeColor="text1"/>
                <w:sz w:val="24"/>
              </w:rPr>
              <w:t>是</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否</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不适用</w:t>
            </w:r>
          </w:p>
          <w:p>
            <w:pPr>
              <w:widowControl/>
              <w:rPr>
                <w:rFonts w:ascii="仿宋_GB2312" w:hAnsi="楷体" w:eastAsia="仿宋_GB2312" w:cs="楷体"/>
                <w:bCs/>
                <w:color w:val="000000" w:themeColor="text1"/>
                <w:sz w:val="24"/>
              </w:rPr>
            </w:pPr>
            <w:r>
              <w:rPr>
                <w:rFonts w:hint="eastAsia" w:ascii="仿宋_GB2312" w:hAnsi="楷体" w:eastAsia="仿宋_GB2312" w:cs="楷体"/>
                <w:bCs/>
                <w:color w:val="000000" w:themeColor="text1"/>
                <w:sz w:val="24"/>
              </w:rPr>
              <w:t>保障性住房：</w:t>
            </w:r>
            <w:r>
              <w:rPr>
                <w:rFonts w:hint="eastAsia" w:ascii="仿宋_GB2312" w:hAnsi="楷体" w:eastAsia="仿宋_GB2312" w:cs="楷体"/>
                <w:color w:val="000000" w:themeColor="text1"/>
                <w:sz w:val="24"/>
              </w:rPr>
              <w:t>是</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否</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不适用</w:t>
            </w:r>
            <w:r>
              <w:rPr>
                <w:rFonts w:ascii="仿宋_GB2312" w:hAnsi="楷体" w:eastAsia="仿宋_GB2312" w:cs="楷体"/>
                <w:color w:val="000000" w:themeColor="text1"/>
                <w:sz w:val="24"/>
              </w:rPr>
              <w:t xml:space="preserve">            </w:t>
            </w:r>
            <w:r>
              <w:rPr>
                <w:rFonts w:hint="eastAsia" w:ascii="仿宋_GB2312" w:hAnsi="楷体" w:eastAsia="仿宋_GB2312" w:cs="楷体"/>
                <w:bCs/>
                <w:color w:val="000000" w:themeColor="text1"/>
                <w:sz w:val="24"/>
              </w:rPr>
              <w:t>政府储备物资：</w:t>
            </w:r>
            <w:r>
              <w:rPr>
                <w:rFonts w:hint="eastAsia" w:ascii="仿宋_GB2312" w:hAnsi="楷体" w:eastAsia="仿宋_GB2312" w:cs="楷体"/>
                <w:color w:val="000000" w:themeColor="text1"/>
                <w:sz w:val="24"/>
              </w:rPr>
              <w:t>是</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否</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不适用</w:t>
            </w:r>
          </w:p>
          <w:p>
            <w:pPr>
              <w:widowControl/>
              <w:rPr>
                <w:rFonts w:ascii="仿宋_GB2312" w:eastAsia="仿宋_GB2312"/>
                <w:b/>
                <w:bCs/>
                <w:color w:val="000000" w:themeColor="text1"/>
                <w:sz w:val="24"/>
              </w:rPr>
            </w:pPr>
            <w:r>
              <w:rPr>
                <w:rFonts w:hint="eastAsia" w:ascii="仿宋_GB2312" w:hAnsi="楷体" w:eastAsia="仿宋_GB2312" w:cs="楷体"/>
                <w:bCs/>
                <w:color w:val="000000" w:themeColor="text1"/>
                <w:sz w:val="24"/>
              </w:rPr>
              <w:t>国有文物文化资产：</w:t>
            </w:r>
            <w:r>
              <w:rPr>
                <w:rFonts w:hint="eastAsia" w:ascii="仿宋_GB2312" w:hAnsi="楷体" w:eastAsia="仿宋_GB2312" w:cs="楷体"/>
                <w:color w:val="000000" w:themeColor="text1"/>
                <w:sz w:val="24"/>
              </w:rPr>
              <w:t>是</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否</w:t>
            </w:r>
            <w:r>
              <w:rPr>
                <w:rFonts w:ascii="仿宋_GB2312" w:hAnsi="楷体" w:eastAsia="仿宋_GB2312" w:cs="楷体"/>
                <w:color w:val="000000" w:themeColor="text1"/>
                <w:sz w:val="24"/>
              </w:rPr>
              <w:t>/</w:t>
            </w:r>
            <w:r>
              <w:rPr>
                <w:rFonts w:hint="eastAsia" w:ascii="仿宋_GB2312" w:hAnsi="楷体" w:eastAsia="仿宋_GB2312" w:cs="楷体"/>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bCs/>
                <w:color w:val="000000" w:themeColor="text1"/>
                <w:sz w:val="24"/>
              </w:rPr>
            </w:pPr>
            <w:r>
              <w:rPr>
                <w:rFonts w:hint="eastAsia" w:ascii="仿宋_GB2312" w:eastAsia="仿宋_GB2312"/>
                <w:b/>
                <w:bCs/>
                <w:color w:val="000000" w:themeColor="text1"/>
                <w:sz w:val="24"/>
              </w:rPr>
              <w:t>二、业务层面内部控制情况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（一）内部控制适用的业务领域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0" w:hRule="atLeast"/>
          <w:jc w:val="center"/>
        </w:trPr>
        <w:tc>
          <w:tcPr>
            <w:tcW w:w="3792" w:type="dxa"/>
            <w:gridSpan w:val="3"/>
            <w:vAlign w:val="center"/>
          </w:tcPr>
          <w:p>
            <w:pPr>
              <w:widowControl/>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内部控制适用的六大经济业务领域</w:t>
            </w:r>
          </w:p>
        </w:tc>
        <w:tc>
          <w:tcPr>
            <w:tcW w:w="3792" w:type="dxa"/>
            <w:gridSpan w:val="6"/>
            <w:vAlign w:val="center"/>
          </w:tcPr>
          <w:p>
            <w:pPr>
              <w:widowControl/>
              <w:rPr>
                <w:rFonts w:ascii="仿宋_GB2312" w:eastAsia="仿宋_GB2312"/>
                <w:color w:val="000000" w:themeColor="text1"/>
                <w:sz w:val="24"/>
              </w:rPr>
            </w:pPr>
            <w:r>
              <w:rPr>
                <w:rFonts w:hint="eastAsia" w:ascii="仿宋_GB2312" w:hAnsi="楷体" w:eastAsia="仿宋_GB2312"/>
                <w:sz w:val="24"/>
              </w:rPr>
              <w:t>预算业务管理</w:t>
            </w:r>
            <w:r>
              <w:rPr>
                <w:rFonts w:ascii="仿宋_GB2312" w:hAnsi="楷体" w:eastAsia="仿宋_GB2312"/>
                <w:sz w:val="24"/>
              </w:rPr>
              <w:t>/</w:t>
            </w:r>
            <w:r>
              <w:rPr>
                <w:rFonts w:hint="eastAsia" w:ascii="仿宋_GB2312" w:hAnsi="楷体" w:eastAsia="仿宋_GB2312"/>
                <w:sz w:val="24"/>
              </w:rPr>
              <w:t>收支业务管理</w:t>
            </w:r>
            <w:r>
              <w:rPr>
                <w:rFonts w:ascii="仿宋_GB2312" w:hAnsi="楷体" w:eastAsia="仿宋_GB2312"/>
                <w:sz w:val="24"/>
              </w:rPr>
              <w:t>/</w:t>
            </w:r>
            <w:r>
              <w:rPr>
                <w:rFonts w:hint="eastAsia" w:ascii="仿宋_GB2312" w:hAnsi="楷体" w:eastAsia="仿宋_GB2312"/>
                <w:sz w:val="24"/>
              </w:rPr>
              <w:t>政府采购业务管理</w:t>
            </w:r>
            <w:r>
              <w:rPr>
                <w:rFonts w:ascii="仿宋_GB2312" w:hAnsi="楷体" w:eastAsia="仿宋_GB2312"/>
                <w:sz w:val="24"/>
              </w:rPr>
              <w:t>/</w:t>
            </w:r>
            <w:r>
              <w:rPr>
                <w:rFonts w:hint="eastAsia" w:ascii="仿宋_GB2312" w:hAnsi="楷体" w:eastAsia="仿宋_GB2312"/>
                <w:sz w:val="24"/>
              </w:rPr>
              <w:t>国有资产业务管理</w:t>
            </w:r>
            <w:r>
              <w:rPr>
                <w:rFonts w:ascii="仿宋_GB2312" w:hAnsi="楷体" w:eastAsia="仿宋_GB2312"/>
                <w:sz w:val="24"/>
              </w:rPr>
              <w:t>/</w:t>
            </w:r>
            <w:r>
              <w:rPr>
                <w:rFonts w:hint="eastAsia" w:ascii="仿宋_GB2312" w:hAnsi="楷体" w:eastAsia="仿宋_GB2312"/>
                <w:sz w:val="24"/>
              </w:rPr>
              <w:t>建设项目业务管理</w:t>
            </w:r>
            <w:r>
              <w:rPr>
                <w:rFonts w:ascii="仿宋_GB2312" w:hAnsi="楷体" w:eastAsia="仿宋_GB2312"/>
                <w:sz w:val="24"/>
              </w:rPr>
              <w:t>/</w:t>
            </w:r>
            <w:r>
              <w:rPr>
                <w:rFonts w:hint="eastAsia" w:ascii="仿宋_GB2312" w:hAnsi="楷体" w:eastAsia="仿宋_GB2312"/>
                <w:sz w:val="24"/>
              </w:rPr>
              <w:t>合同业务管理</w:t>
            </w:r>
          </w:p>
        </w:tc>
        <w:tc>
          <w:tcPr>
            <w:tcW w:w="3792" w:type="dxa"/>
            <w:gridSpan w:val="4"/>
            <w:vAlign w:val="center"/>
          </w:tcPr>
          <w:p>
            <w:pPr>
              <w:widowControl/>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内部控制适用的其他业务领域</w:t>
            </w:r>
          </w:p>
        </w:tc>
        <w:tc>
          <w:tcPr>
            <w:tcW w:w="3794" w:type="dxa"/>
            <w:gridSpan w:val="4"/>
            <w:vAlign w:val="center"/>
          </w:tcPr>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（二）内部控制业务工作职责分离情况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预算业务管理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预算编制与审核分离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预算审批与执行分离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预算执行与分析分离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决算编制与审核分离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收支业务管理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收款与会计核算分离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支出申请与审批分离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支出审批与付款分离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业务经办与会计核算分离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政府采购业务管理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采购需求提出与审核分离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采购方式确定与审核分离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采购执行与验收分离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采购验收与登记分离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国有资产业务管理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货币资金保管、稽核与账目登记分离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资产财务账与实物账分离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资产保管与清查分离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对外投资立项申报与审核分离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建设项目业务管理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项目立项申请与审核分离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概预算编制与审核分离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项目实施与价款支付分离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竣工决算与审计分离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合同业务管理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合同的拟订与审核分离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合同文本订立与合同章管理分离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合同订立与登记台账分离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合同执行与监督分离</w:t>
            </w:r>
            <w:r>
              <w:rPr>
                <w:rFonts w:ascii="仿宋_GB2312" w:hAnsi="楷体" w:eastAsia="仿宋_GB2312"/>
                <w:color w:val="000000" w:themeColor="text1"/>
                <w:sz w:val="24"/>
              </w:rPr>
              <w:t>/</w:t>
            </w:r>
            <w:r>
              <w:rPr>
                <w:rFonts w:hint="eastAsia" w:ascii="仿宋_GB2312" w:hAnsi="楷体" w:eastAsia="仿宋_GB2312"/>
                <w:color w:val="000000" w:themeColor="text1"/>
                <w:sz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color w:val="000000" w:themeColor="text1"/>
                <w:sz w:val="24"/>
              </w:rPr>
            </w:pPr>
            <w:r>
              <w:rPr>
                <w:rFonts w:hint="eastAsia" w:ascii="仿宋_GB2312" w:eastAsia="仿宋_GB2312"/>
                <w:color w:val="000000" w:themeColor="text1"/>
                <w:sz w:val="24"/>
              </w:rPr>
              <w:t>（三）内部控制业务轮岗情况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预算业务管理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轮岗周期内已轮岗</w:t>
            </w:r>
            <w:r>
              <w:rPr>
                <w:rFonts w:ascii="仿宋_GB2312" w:hAnsi="楷体" w:eastAsia="仿宋_GB2312"/>
                <w:color w:val="000000" w:themeColor="text1"/>
                <w:sz w:val="24"/>
              </w:rPr>
              <w:t>/</w:t>
            </w:r>
            <w:r>
              <w:rPr>
                <w:rFonts w:hint="eastAsia" w:ascii="仿宋_GB2312" w:hAnsi="楷体" w:eastAsia="仿宋_GB2312"/>
                <w:color w:val="000000" w:themeColor="text1"/>
                <w:sz w:val="24"/>
              </w:rPr>
              <w:t>轮岗周期内未进行轮岗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收支业务管理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政府采购业务管理</w:t>
            </w:r>
          </w:p>
        </w:tc>
        <w:tc>
          <w:tcPr>
            <w:tcW w:w="11378" w:type="dxa"/>
            <w:gridSpan w:val="14"/>
            <w:vAlign w:val="center"/>
          </w:tcPr>
          <w:p>
            <w:pPr>
              <w:widowControl/>
              <w:rPr>
                <w:rFonts w:ascii="仿宋_GB2312" w:eastAsia="仿宋_GB2312"/>
                <w:b/>
                <w:bCs/>
                <w:color w:val="000000" w:themeColor="text1"/>
                <w:sz w:val="24"/>
              </w:rPr>
            </w:pPr>
            <w:r>
              <w:rPr>
                <w:rFonts w:hint="eastAsia" w:ascii="仿宋_GB2312" w:hAnsi="楷体" w:eastAsia="仿宋_GB2312"/>
                <w:color w:val="000000" w:themeColor="text1"/>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4.</w:t>
            </w:r>
            <w:r>
              <w:rPr>
                <w:rFonts w:hint="eastAsia" w:ascii="仿宋_GB2312" w:eastAsia="仿宋_GB2312"/>
                <w:color w:val="000000" w:themeColor="text1"/>
                <w:sz w:val="24"/>
              </w:rPr>
              <w:t>国有资产业务管理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5.</w:t>
            </w:r>
            <w:r>
              <w:rPr>
                <w:rFonts w:hint="eastAsia" w:ascii="仿宋_GB2312" w:eastAsia="仿宋_GB2312"/>
                <w:color w:val="000000" w:themeColor="text1"/>
                <w:sz w:val="24"/>
              </w:rPr>
              <w:t>建设项目业务管理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jc w:val="left"/>
              <w:rPr>
                <w:rFonts w:ascii="仿宋_GB2312" w:eastAsia="仿宋_GB2312"/>
                <w:color w:val="000000" w:themeColor="text1"/>
                <w:sz w:val="24"/>
              </w:rPr>
            </w:pPr>
            <w:r>
              <w:rPr>
                <w:rFonts w:ascii="仿宋_GB2312" w:eastAsia="仿宋_GB2312"/>
                <w:color w:val="000000" w:themeColor="text1"/>
                <w:sz w:val="24"/>
              </w:rPr>
              <w:t>6.</w:t>
            </w:r>
            <w:r>
              <w:rPr>
                <w:rFonts w:hint="eastAsia" w:ascii="仿宋_GB2312" w:eastAsia="仿宋_GB2312"/>
                <w:color w:val="000000" w:themeColor="text1"/>
                <w:sz w:val="24"/>
              </w:rPr>
              <w:t>合同业务管理</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color w:val="000000" w:themeColor="text1"/>
                <w:sz w:val="24"/>
              </w:rPr>
            </w:pPr>
            <w:r>
              <w:rPr>
                <w:rFonts w:hint="eastAsia" w:ascii="仿宋_GB2312" w:eastAsia="仿宋_GB2312" w:hAnsiTheme="minorEastAsia"/>
                <w:color w:val="000000" w:themeColor="text1"/>
                <w:sz w:val="24"/>
              </w:rPr>
              <w:t>（四）建立健全内部控制制度情况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2328" w:type="dxa"/>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业务类型</w:t>
            </w:r>
          </w:p>
        </w:tc>
        <w:tc>
          <w:tcPr>
            <w:tcW w:w="3164" w:type="dxa"/>
            <w:gridSpan w:val="4"/>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环节（类别）</w:t>
            </w:r>
          </w:p>
        </w:tc>
        <w:tc>
          <w:tcPr>
            <w:tcW w:w="1432" w:type="dxa"/>
            <w:gridSpan w:val="2"/>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是否适用</w:t>
            </w:r>
          </w:p>
        </w:tc>
        <w:tc>
          <w:tcPr>
            <w:tcW w:w="2202" w:type="dxa"/>
            <w:gridSpan w:val="4"/>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是否已建立制度和流程图</w:t>
            </w:r>
          </w:p>
        </w:tc>
        <w:tc>
          <w:tcPr>
            <w:tcW w:w="2202" w:type="dxa"/>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本年是否更新</w:t>
            </w:r>
          </w:p>
        </w:tc>
        <w:tc>
          <w:tcPr>
            <w:tcW w:w="3842" w:type="dxa"/>
            <w:gridSpan w:val="5"/>
            <w:vAlign w:val="center"/>
          </w:tcPr>
          <w:p>
            <w:pPr>
              <w:widowControl/>
              <w:jc w:val="center"/>
              <w:rPr>
                <w:rFonts w:ascii="仿宋_GB2312" w:eastAsia="仿宋_GB2312"/>
                <w:b/>
                <w:bCs/>
                <w:color w:val="000000" w:themeColor="text1"/>
                <w:sz w:val="24"/>
              </w:rPr>
            </w:pPr>
            <w:r>
              <w:rPr>
                <w:rFonts w:hint="eastAsia" w:ascii="仿宋_GB2312" w:eastAsia="仿宋_GB2312"/>
                <w:b/>
                <w:bCs/>
                <w:color w:val="000000" w:themeColor="text1"/>
                <w:sz w:val="24"/>
              </w:rPr>
              <w:t>制度关键管控点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8"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预算业务管理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预算编制与审核</w:t>
            </w:r>
          </w:p>
        </w:tc>
        <w:tc>
          <w:tcPr>
            <w:tcW w:w="1432"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202" w:type="dxa"/>
            <w:gridSpan w:val="4"/>
            <w:vAlign w:val="center"/>
          </w:tcPr>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建立制度：是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建立流程图：是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202" w:type="dxa"/>
            <w:vAlign w:val="center"/>
          </w:tcPr>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更新制度：是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p>
            <w:pPr>
              <w:widowControl/>
              <w:rPr>
                <w:rFonts w:ascii="仿宋_GB2312" w:hAnsi="楷体" w:eastAsia="仿宋_GB2312"/>
                <w:color w:val="000000" w:themeColor="text1"/>
                <w:sz w:val="24"/>
              </w:rPr>
            </w:pPr>
            <w:r>
              <w:rPr>
                <w:rFonts w:hint="eastAsia" w:ascii="仿宋_GB2312" w:hAnsi="楷体" w:eastAsia="仿宋_GB2312"/>
                <w:color w:val="000000" w:themeColor="text1"/>
                <w:sz w:val="24"/>
              </w:rPr>
              <w:t>更新流程图：是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单位预算项目库入库标准与动态管理</w:t>
            </w:r>
          </w:p>
          <w:p>
            <w:pPr>
              <w:jc w:val="left"/>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单位预算编制主体、程序及标准</w:t>
            </w:r>
          </w:p>
          <w:p>
            <w:pPr>
              <w:jc w:val="left"/>
              <w:rPr>
                <w:rFonts w:ascii="仿宋_GB2312" w:eastAsia="仿宋_GB2312"/>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单位重大或新增预算项目评审程序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5"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预算执行与调整</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单位预算执行分析次数、内容及结果应用</w:t>
            </w:r>
          </w:p>
          <w:p>
            <w:pPr>
              <w:jc w:val="left"/>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单位预算调整主体、程序及标准</w:t>
            </w:r>
          </w:p>
          <w:p>
            <w:pPr>
              <w:jc w:val="left"/>
              <w:rPr>
                <w:rFonts w:ascii="仿宋_GB2312" w:eastAsia="仿宋_GB2312"/>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单位直达资金预算执行分析和使用监督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8"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决算管理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单位决算编制主体、程序及标准</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单位决算分析报告内容与应用机制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4"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4.</w:t>
            </w:r>
            <w:r>
              <w:rPr>
                <w:rFonts w:hint="eastAsia" w:ascii="仿宋_GB2312" w:eastAsia="仿宋_GB2312" w:hAnsiTheme="minorEastAsia"/>
                <w:sz w:val="24"/>
              </w:rPr>
              <w:t>绩效管理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单位预算绩效目标编制与审核，项目预算绩效目标编制与审核</w:t>
            </w:r>
          </w:p>
          <w:p>
            <w:pPr>
              <w:jc w:val="left"/>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单位预算项目绩效执行主体、程序及标准</w:t>
            </w:r>
          </w:p>
          <w:p>
            <w:pPr>
              <w:jc w:val="left"/>
              <w:rPr>
                <w:rFonts w:ascii="仿宋_GB2312" w:hAnsi="楷体" w:eastAsia="仿宋_GB2312" w:cs="宋体"/>
                <w:sz w:val="24"/>
              </w:rPr>
            </w:pPr>
            <w:r>
              <w:rPr>
                <w:rFonts w:ascii="仿宋_GB2312" w:hAnsi="楷体" w:eastAsia="仿宋_GB2312" w:cs="宋体"/>
                <w:sz w:val="24"/>
              </w:rPr>
              <w:t>3.</w:t>
            </w:r>
            <w:r>
              <w:rPr>
                <w:rFonts w:hint="eastAsia" w:ascii="仿宋_GB2312" w:hAnsi="楷体" w:eastAsia="仿宋_GB2312" w:cs="宋体"/>
                <w:sz w:val="24"/>
              </w:rPr>
              <w:t>单位预算项目绩效运行监控</w:t>
            </w:r>
          </w:p>
          <w:p>
            <w:pPr>
              <w:jc w:val="left"/>
              <w:rPr>
                <w:rFonts w:ascii="仿宋_GB2312" w:hAnsi="楷体" w:eastAsia="仿宋_GB2312" w:cs="宋体"/>
                <w:sz w:val="24"/>
              </w:rPr>
            </w:pPr>
            <w:r>
              <w:rPr>
                <w:rFonts w:ascii="仿宋_GB2312" w:hAnsi="楷体" w:eastAsia="仿宋_GB2312" w:cs="宋体"/>
                <w:sz w:val="24"/>
              </w:rPr>
              <w:t>4.</w:t>
            </w:r>
            <w:r>
              <w:rPr>
                <w:rFonts w:hint="eastAsia" w:ascii="仿宋_GB2312" w:hAnsi="楷体" w:eastAsia="仿宋_GB2312" w:cs="宋体"/>
                <w:sz w:val="24"/>
              </w:rPr>
              <w:t>单位绩效评价主体、程序及结果应用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收支业务管理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收入管理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单位财政收入种类与收缴管理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财政票据管理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both"/>
              <w:rPr>
                <w:rFonts w:ascii="仿宋_GB2312" w:eastAsia="仿宋_GB2312"/>
                <w:color w:val="000000" w:themeColor="text1"/>
                <w:spacing w:val="-8"/>
                <w:sz w:val="24"/>
              </w:rPr>
            </w:pPr>
            <w:r>
              <w:rPr>
                <w:rFonts w:ascii="仿宋_GB2312" w:hAnsi="楷体" w:eastAsia="仿宋_GB2312" w:cs="宋体"/>
                <w:spacing w:val="-8"/>
                <w:sz w:val="24"/>
              </w:rPr>
              <w:t>1.</w:t>
            </w:r>
            <w:r>
              <w:rPr>
                <w:rFonts w:hint="eastAsia" w:ascii="仿宋_GB2312" w:hAnsi="楷体" w:eastAsia="仿宋_GB2312" w:cs="宋体"/>
                <w:spacing w:val="-8"/>
                <w:sz w:val="24"/>
              </w:rPr>
              <w:t>单位财政票据申领、使用保管及核销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支出管理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单位支出范围与标准</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单位各类支出审批权限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4.</w:t>
            </w:r>
            <w:r>
              <w:rPr>
                <w:rFonts w:hint="eastAsia" w:ascii="仿宋_GB2312" w:eastAsia="仿宋_GB2312" w:hAnsiTheme="minorEastAsia"/>
                <w:sz w:val="24"/>
              </w:rPr>
              <w:t>公务卡管理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sz w:val="24"/>
              </w:rPr>
            </w:pPr>
            <w:r>
              <w:rPr>
                <w:rFonts w:ascii="仿宋_GB2312" w:hAnsi="楷体" w:eastAsia="仿宋_GB2312"/>
                <w:sz w:val="24"/>
              </w:rPr>
              <w:t>1.</w:t>
            </w:r>
            <w:r>
              <w:rPr>
                <w:rFonts w:hint="eastAsia" w:ascii="仿宋_GB2312" w:hAnsi="楷体" w:eastAsia="仿宋_GB2312"/>
                <w:sz w:val="24"/>
              </w:rPr>
              <w:t>单位公务卡结算范围及报销程序</w:t>
            </w:r>
          </w:p>
          <w:p>
            <w:pPr>
              <w:jc w:val="left"/>
              <w:rPr>
                <w:rFonts w:ascii="仿宋_GB2312" w:eastAsia="仿宋_GB2312"/>
                <w:color w:val="000000" w:themeColor="text1"/>
                <w:sz w:val="24"/>
              </w:rPr>
            </w:pPr>
            <w:r>
              <w:rPr>
                <w:rFonts w:ascii="仿宋_GB2312" w:hAnsi="楷体" w:eastAsia="仿宋_GB2312"/>
                <w:sz w:val="24"/>
              </w:rPr>
              <w:t>2.</w:t>
            </w:r>
            <w:r>
              <w:rPr>
                <w:rFonts w:hint="eastAsia" w:ascii="仿宋_GB2312" w:hAnsi="楷体" w:eastAsia="仿宋_GB2312"/>
                <w:sz w:val="24"/>
              </w:rPr>
              <w:t>单位公务卡办卡及销卡管理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政府采购业务管理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采购申请与审核</w:t>
            </w:r>
            <w:r>
              <w:rPr>
                <w:rFonts w:ascii="仿宋_GB2312" w:eastAsia="仿宋_GB2312" w:hAnsiTheme="minorEastAsia"/>
                <w:sz w:val="24"/>
              </w:rPr>
              <w:t xml:space="preserve"> </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单位采购审核分级授权机制</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单位业务归口部门与财务归口部门审核内容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采购组织形式确定</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单位政府集中采购组织形式及范围标准</w:t>
            </w:r>
          </w:p>
          <w:p>
            <w:pPr>
              <w:jc w:val="left"/>
              <w:rPr>
                <w:rFonts w:ascii="仿宋_GB2312" w:eastAsia="仿宋_GB2312"/>
                <w:color w:val="000000" w:themeColor="text1"/>
                <w:spacing w:val="-4"/>
                <w:sz w:val="24"/>
              </w:rPr>
            </w:pPr>
            <w:r>
              <w:rPr>
                <w:rFonts w:ascii="仿宋_GB2312" w:hAnsi="楷体" w:eastAsia="仿宋_GB2312" w:cs="宋体"/>
                <w:spacing w:val="-4"/>
                <w:sz w:val="24"/>
              </w:rPr>
              <w:t>2.</w:t>
            </w:r>
            <w:r>
              <w:rPr>
                <w:rFonts w:hint="eastAsia" w:ascii="仿宋_GB2312" w:hAnsi="楷体" w:eastAsia="仿宋_GB2312" w:cs="宋体"/>
                <w:spacing w:val="-4"/>
                <w:sz w:val="24"/>
              </w:rPr>
              <w:t>单位自行采购组织形式及范围标准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1"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采购方式确定及变更</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单位采购方式确定及变更的主体、权限、程序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9"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4.</w:t>
            </w:r>
            <w:r>
              <w:rPr>
                <w:rFonts w:hint="eastAsia" w:ascii="仿宋_GB2312" w:eastAsia="仿宋_GB2312" w:hAnsiTheme="minorEastAsia"/>
                <w:sz w:val="24"/>
              </w:rPr>
              <w:t>采购验收</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单位采购验收主体、程序及结果应用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国有资产业务管理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货币资金管理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单位银行账户类型，开立、变更、撤销程序及年检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固定资产管理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单位固定资产类别与配置标准</w:t>
            </w:r>
          </w:p>
          <w:p>
            <w:pPr>
              <w:jc w:val="left"/>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单位固定资产清查范围及程序</w:t>
            </w:r>
          </w:p>
          <w:p>
            <w:pPr>
              <w:jc w:val="left"/>
              <w:rPr>
                <w:rFonts w:ascii="仿宋_GB2312" w:eastAsia="仿宋_GB2312"/>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单位资产处置标准与审批权限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无形资产管理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单位无形资产类别、登记确认、价值评估及处置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4.</w:t>
            </w:r>
            <w:r>
              <w:rPr>
                <w:rFonts w:hint="eastAsia" w:ascii="仿宋_GB2312" w:eastAsia="仿宋_GB2312" w:hAnsiTheme="minorEastAsia"/>
                <w:sz w:val="24"/>
              </w:rPr>
              <w:t>对外投资管理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单位关于《政府投资条例》的具体管理办法</w:t>
            </w:r>
          </w:p>
          <w:p>
            <w:pPr>
              <w:jc w:val="left"/>
              <w:rPr>
                <w:rFonts w:ascii="仿宋_GB2312" w:hAnsi="楷体" w:eastAsia="仿宋_GB2312" w:cs="宋体"/>
                <w:spacing w:val="-8"/>
                <w:sz w:val="24"/>
              </w:rPr>
            </w:pPr>
            <w:r>
              <w:rPr>
                <w:rFonts w:ascii="仿宋_GB2312" w:hAnsi="楷体" w:eastAsia="仿宋_GB2312" w:cs="宋体"/>
                <w:spacing w:val="-8"/>
                <w:sz w:val="24"/>
              </w:rPr>
              <w:t>2.</w:t>
            </w:r>
            <w:r>
              <w:rPr>
                <w:rFonts w:hint="eastAsia" w:ascii="仿宋_GB2312" w:hAnsi="楷体" w:eastAsia="仿宋_GB2312" w:cs="宋体"/>
                <w:spacing w:val="-8"/>
                <w:sz w:val="24"/>
              </w:rPr>
              <w:t>单位对外投资范围、立项及审批权限</w:t>
            </w:r>
          </w:p>
          <w:p>
            <w:pPr>
              <w:jc w:val="left"/>
              <w:rPr>
                <w:rFonts w:ascii="仿宋_GB2312" w:eastAsia="仿宋_GB2312"/>
                <w:color w:val="000000" w:themeColor="text1"/>
                <w:spacing w:val="-4"/>
                <w:sz w:val="24"/>
              </w:rPr>
            </w:pPr>
            <w:r>
              <w:rPr>
                <w:rFonts w:ascii="仿宋_GB2312" w:hAnsi="楷体" w:eastAsia="仿宋_GB2312" w:cs="宋体"/>
                <w:spacing w:val="-4"/>
                <w:sz w:val="24"/>
              </w:rPr>
              <w:t>3.</w:t>
            </w:r>
            <w:r>
              <w:rPr>
                <w:rFonts w:hint="eastAsia" w:ascii="仿宋_GB2312" w:hAnsi="楷体" w:eastAsia="仿宋_GB2312" w:cs="宋体"/>
                <w:spacing w:val="-4"/>
                <w:sz w:val="24"/>
              </w:rPr>
              <w:t>单位对外投资价值评估与收益管理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建设项目业务管理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项目立项、设计与概预算</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单位项目投资评审、立项依据与审批程序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项目采购管理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eastAsia="仿宋_GB2312"/>
                <w:color w:val="000000" w:themeColor="text1"/>
                <w:sz w:val="24"/>
              </w:rPr>
            </w:pPr>
            <w:r>
              <w:rPr>
                <w:rFonts w:ascii="仿宋_GB2312" w:hAnsi="楷体" w:eastAsia="仿宋_GB2312" w:cs="宋体"/>
                <w:sz w:val="24"/>
              </w:rPr>
              <w:t>1.</w:t>
            </w:r>
            <w:r>
              <w:rPr>
                <w:rFonts w:hint="eastAsia" w:ascii="仿宋_GB2312" w:hAnsi="楷体" w:eastAsia="仿宋_GB2312" w:cs="宋体"/>
                <w:sz w:val="24"/>
              </w:rPr>
              <w:t>单位项目采购范围、方式及程序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项目施工、变更与资金支付</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单位项目分包控制</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单位项目变更审批权限及程序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4.</w:t>
            </w:r>
            <w:r>
              <w:rPr>
                <w:rFonts w:hint="eastAsia" w:ascii="仿宋_GB2312" w:eastAsia="仿宋_GB2312" w:hAnsiTheme="minorEastAsia"/>
                <w:sz w:val="24"/>
              </w:rPr>
              <w:t>项目验收管理与绩效评价</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单位项目验收主体、内容及程序</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单位项目绩效评价形式与内容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0" w:hRule="atLeast"/>
          <w:jc w:val="center"/>
        </w:trPr>
        <w:tc>
          <w:tcPr>
            <w:tcW w:w="2328" w:type="dxa"/>
            <w:vMerge w:val="restart"/>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合同业务管理</w:t>
            </w: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1.</w:t>
            </w:r>
            <w:r>
              <w:rPr>
                <w:rFonts w:hint="eastAsia" w:ascii="仿宋_GB2312" w:eastAsia="仿宋_GB2312" w:hAnsiTheme="minorEastAsia"/>
                <w:sz w:val="24"/>
              </w:rPr>
              <w:t>合同拟订与审批</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单位合同审核主体、内容及程序</w:t>
            </w:r>
          </w:p>
          <w:p>
            <w:pPr>
              <w:jc w:val="left"/>
              <w:rPr>
                <w:rFonts w:ascii="仿宋_GB2312" w:eastAsia="仿宋_GB2312"/>
                <w:color w:val="000000" w:themeColor="text1"/>
                <w:sz w:val="24"/>
              </w:rPr>
            </w:pPr>
            <w:r>
              <w:rPr>
                <w:rFonts w:ascii="仿宋_GB2312" w:hAnsi="楷体" w:eastAsia="仿宋_GB2312" w:cs="宋体"/>
                <w:sz w:val="24"/>
              </w:rPr>
              <w:t>2.</w:t>
            </w:r>
            <w:r>
              <w:rPr>
                <w:rFonts w:hint="eastAsia" w:ascii="仿宋_GB2312" w:hAnsi="楷体" w:eastAsia="仿宋_GB2312" w:cs="宋体"/>
                <w:sz w:val="24"/>
              </w:rPr>
              <w:t>单位法务或外聘法律顾问介入条件与环节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3" w:hRule="atLeast"/>
          <w:jc w:val="center"/>
        </w:trPr>
        <w:tc>
          <w:tcPr>
            <w:tcW w:w="2328" w:type="dxa"/>
            <w:vMerge w:val="continue"/>
            <w:vAlign w:val="center"/>
          </w:tcPr>
          <w:p>
            <w:pPr>
              <w:widowControl/>
              <w:rPr>
                <w:rFonts w:ascii="仿宋_GB2312" w:eastAsia="仿宋_GB2312"/>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2.</w:t>
            </w:r>
            <w:r>
              <w:rPr>
                <w:rFonts w:hint="eastAsia" w:ascii="仿宋_GB2312" w:eastAsia="仿宋_GB2312" w:hAnsiTheme="minorEastAsia"/>
                <w:sz w:val="24"/>
              </w:rPr>
              <w:t>合同履行与监督</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cs="宋体"/>
                <w:sz w:val="24"/>
              </w:rPr>
            </w:pPr>
            <w:r>
              <w:rPr>
                <w:rFonts w:ascii="仿宋_GB2312" w:hAnsi="楷体" w:eastAsia="仿宋_GB2312" w:cs="宋体"/>
                <w:sz w:val="24"/>
              </w:rPr>
              <w:t>1.</w:t>
            </w:r>
            <w:r>
              <w:rPr>
                <w:rFonts w:hint="eastAsia" w:ascii="仿宋_GB2312" w:hAnsi="楷体" w:eastAsia="仿宋_GB2312" w:cs="宋体"/>
                <w:sz w:val="24"/>
              </w:rPr>
              <w:t>单位合同台账设置及管理要求</w:t>
            </w:r>
          </w:p>
          <w:p>
            <w:pPr>
              <w:jc w:val="left"/>
              <w:rPr>
                <w:rFonts w:ascii="仿宋_GB2312" w:hAnsi="楷体" w:eastAsia="仿宋_GB2312" w:cs="宋体"/>
                <w:sz w:val="24"/>
              </w:rPr>
            </w:pPr>
            <w:r>
              <w:rPr>
                <w:rFonts w:ascii="仿宋_GB2312" w:hAnsi="楷体" w:eastAsia="仿宋_GB2312" w:cs="宋体"/>
                <w:sz w:val="24"/>
              </w:rPr>
              <w:t>2.</w:t>
            </w:r>
            <w:r>
              <w:rPr>
                <w:rFonts w:hint="eastAsia" w:ascii="仿宋_GB2312" w:hAnsi="楷体" w:eastAsia="仿宋_GB2312" w:cs="宋体"/>
                <w:sz w:val="24"/>
              </w:rPr>
              <w:t>单位合同章种类、使用权限及使用范围</w:t>
            </w:r>
          </w:p>
          <w:p>
            <w:pPr>
              <w:jc w:val="left"/>
              <w:rPr>
                <w:rFonts w:ascii="仿宋_GB2312" w:eastAsia="仿宋_GB2312"/>
                <w:color w:val="000000" w:themeColor="text1"/>
                <w:sz w:val="24"/>
              </w:rPr>
            </w:pPr>
            <w:r>
              <w:rPr>
                <w:rFonts w:ascii="仿宋_GB2312" w:hAnsi="楷体" w:eastAsia="仿宋_GB2312" w:cs="宋体"/>
                <w:sz w:val="24"/>
              </w:rPr>
              <w:t>3.</w:t>
            </w:r>
            <w:r>
              <w:rPr>
                <w:rFonts w:hint="eastAsia" w:ascii="仿宋_GB2312" w:hAnsi="楷体" w:eastAsia="仿宋_GB2312" w:cs="宋体"/>
                <w:sz w:val="24"/>
              </w:rPr>
              <w:t>单位合同执行监督机制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8" w:hRule="atLeast"/>
          <w:jc w:val="center"/>
        </w:trPr>
        <w:tc>
          <w:tcPr>
            <w:tcW w:w="2328" w:type="dxa"/>
            <w:vMerge w:val="continue"/>
            <w:vAlign w:val="center"/>
          </w:tcPr>
          <w:p>
            <w:pPr>
              <w:widowControl/>
              <w:rPr>
                <w:rFonts w:ascii="仿宋_GB2312" w:eastAsia="仿宋_GB2312"/>
                <w:color w:val="000000" w:themeColor="text1"/>
                <w:sz w:val="24"/>
              </w:rPr>
            </w:pPr>
          </w:p>
        </w:tc>
        <w:tc>
          <w:tcPr>
            <w:tcW w:w="3164" w:type="dxa"/>
            <w:gridSpan w:val="4"/>
            <w:vAlign w:val="center"/>
          </w:tcPr>
          <w:p>
            <w:pPr>
              <w:widowControl/>
              <w:rPr>
                <w:rFonts w:ascii="仿宋_GB2312" w:eastAsia="仿宋_GB2312"/>
                <w:color w:val="000000" w:themeColor="text1"/>
                <w:sz w:val="24"/>
              </w:rPr>
            </w:pPr>
            <w:r>
              <w:rPr>
                <w:rFonts w:ascii="仿宋_GB2312" w:eastAsia="仿宋_GB2312" w:hAnsiTheme="minorEastAsia"/>
                <w:sz w:val="24"/>
              </w:rPr>
              <w:t>3.</w:t>
            </w:r>
            <w:r>
              <w:rPr>
                <w:rFonts w:hint="eastAsia" w:ascii="仿宋_GB2312" w:eastAsia="仿宋_GB2312" w:hAnsiTheme="minorEastAsia"/>
                <w:sz w:val="24"/>
              </w:rPr>
              <w:t>合同档案与纠纷管理</w:t>
            </w: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jc w:val="left"/>
              <w:rPr>
                <w:rFonts w:ascii="仿宋_GB2312" w:hAnsi="楷体" w:eastAsia="仿宋_GB2312"/>
                <w:sz w:val="24"/>
              </w:rPr>
            </w:pPr>
            <w:r>
              <w:rPr>
                <w:rFonts w:ascii="仿宋_GB2312" w:hAnsi="楷体" w:eastAsia="仿宋_GB2312"/>
                <w:sz w:val="24"/>
              </w:rPr>
              <w:t>1.</w:t>
            </w:r>
            <w:r>
              <w:rPr>
                <w:rFonts w:hint="eastAsia" w:ascii="仿宋_GB2312" w:hAnsi="楷体" w:eastAsia="仿宋_GB2312"/>
                <w:sz w:val="24"/>
              </w:rPr>
              <w:t>单位合同执行归档制度</w:t>
            </w:r>
          </w:p>
          <w:p>
            <w:pPr>
              <w:jc w:val="left"/>
              <w:rPr>
                <w:rFonts w:ascii="仿宋_GB2312" w:eastAsia="仿宋_GB2312"/>
                <w:color w:val="000000" w:themeColor="text1"/>
                <w:sz w:val="24"/>
              </w:rPr>
            </w:pPr>
            <w:r>
              <w:rPr>
                <w:rFonts w:ascii="仿宋_GB2312" w:hAnsi="楷体" w:eastAsia="仿宋_GB2312"/>
                <w:sz w:val="24"/>
              </w:rPr>
              <w:t>2.</w:t>
            </w:r>
            <w:r>
              <w:rPr>
                <w:rFonts w:hint="eastAsia" w:ascii="仿宋_GB2312" w:hAnsi="楷体" w:eastAsia="仿宋_GB2312"/>
                <w:sz w:val="24"/>
              </w:rPr>
              <w:t>单位合同纠纷处理程序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328" w:type="dxa"/>
            <w:vAlign w:val="center"/>
          </w:tcPr>
          <w:p>
            <w:pPr>
              <w:widowControl/>
              <w:jc w:val="left"/>
              <w:rPr>
                <w:rFonts w:ascii="仿宋_GB2312" w:eastAsia="仿宋_GB2312"/>
                <w:color w:val="000000" w:themeColor="text1"/>
                <w:sz w:val="24"/>
              </w:rPr>
            </w:pPr>
            <w:r>
              <w:rPr>
                <w:rFonts w:hint="eastAsia" w:ascii="仿宋_GB2312" w:eastAsia="仿宋_GB2312"/>
                <w:color w:val="000000" w:themeColor="text1"/>
                <w:sz w:val="24"/>
              </w:rPr>
              <w:t>其他业务领域管理</w:t>
            </w:r>
          </w:p>
        </w:tc>
        <w:tc>
          <w:tcPr>
            <w:tcW w:w="3164" w:type="dxa"/>
            <w:gridSpan w:val="4"/>
            <w:vAlign w:val="center"/>
          </w:tcPr>
          <w:p>
            <w:pPr>
              <w:widowControl/>
              <w:rPr>
                <w:rFonts w:ascii="仿宋_GB2312" w:eastAsia="仿宋_GB2312"/>
                <w:color w:val="000000" w:themeColor="text1"/>
                <w:sz w:val="24"/>
              </w:rPr>
            </w:pPr>
          </w:p>
        </w:tc>
        <w:tc>
          <w:tcPr>
            <w:tcW w:w="1432" w:type="dxa"/>
            <w:gridSpan w:val="2"/>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gridSpan w:val="4"/>
            <w:vAlign w:val="center"/>
          </w:tcPr>
          <w:p>
            <w:pPr>
              <w:widowControl/>
              <w:jc w:val="center"/>
              <w:rPr>
                <w:rFonts w:ascii="仿宋_GB2312" w:eastAsia="仿宋_GB2312"/>
                <w:color w:val="000000" w:themeColor="text1"/>
                <w:sz w:val="24"/>
              </w:rPr>
            </w:pPr>
            <w:r>
              <w:rPr>
                <w:rFonts w:hint="eastAsia" w:ascii="仿宋_GB2312" w:hAnsi="楷体" w:eastAsia="仿宋_GB2312"/>
                <w:color w:val="000000" w:themeColor="text1"/>
                <w:sz w:val="24"/>
              </w:rPr>
              <w:t>同上</w:t>
            </w:r>
          </w:p>
        </w:tc>
        <w:tc>
          <w:tcPr>
            <w:tcW w:w="2202" w:type="dxa"/>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同上</w:t>
            </w:r>
          </w:p>
        </w:tc>
        <w:tc>
          <w:tcPr>
            <w:tcW w:w="3842" w:type="dxa"/>
            <w:gridSpan w:val="5"/>
            <w:vAlign w:val="center"/>
          </w:tcPr>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color w:val="000000" w:themeColor="text1"/>
                <w:sz w:val="24"/>
              </w:rPr>
            </w:pPr>
            <w:r>
              <w:rPr>
                <w:rFonts w:hint="eastAsia" w:ascii="仿宋_GB2312" w:eastAsia="仿宋_GB2312"/>
                <w:bCs/>
                <w:color w:val="000000" w:themeColor="text1"/>
                <w:sz w:val="24"/>
              </w:rPr>
              <w:t>（五）内部控制制度执行情况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jc w:val="center"/>
              <w:rPr>
                <w:rFonts w:ascii="仿宋_GB2312" w:eastAsia="仿宋_GB2312" w:hAnsiTheme="minorEastAsia"/>
                <w:b/>
                <w:color w:val="000000" w:themeColor="text1"/>
                <w:sz w:val="24"/>
              </w:rPr>
            </w:pPr>
            <w:r>
              <w:rPr>
                <w:rFonts w:hint="eastAsia" w:ascii="仿宋_GB2312" w:eastAsia="仿宋_GB2312"/>
                <w:b/>
                <w:sz w:val="24"/>
              </w:rPr>
              <w:t>评价要点</w:t>
            </w:r>
          </w:p>
        </w:tc>
        <w:tc>
          <w:tcPr>
            <w:tcW w:w="1159" w:type="dxa"/>
            <w:gridSpan w:val="2"/>
            <w:vAlign w:val="center"/>
          </w:tcPr>
          <w:p>
            <w:pPr>
              <w:widowControl/>
              <w:jc w:val="center"/>
              <w:rPr>
                <w:rFonts w:ascii="仿宋_GB2312" w:eastAsia="仿宋_GB2312"/>
                <w:b/>
                <w:sz w:val="24"/>
              </w:rPr>
            </w:pPr>
            <w:r>
              <w:rPr>
                <w:rFonts w:hint="eastAsia" w:ascii="仿宋_GB2312" w:eastAsia="仿宋_GB2312"/>
                <w:b/>
                <w:sz w:val="24"/>
              </w:rPr>
              <w:t>是否适用</w:t>
            </w:r>
          </w:p>
        </w:tc>
        <w:tc>
          <w:tcPr>
            <w:tcW w:w="2741" w:type="dxa"/>
            <w:gridSpan w:val="2"/>
            <w:vAlign w:val="center"/>
          </w:tcPr>
          <w:p>
            <w:pPr>
              <w:widowControl/>
              <w:jc w:val="center"/>
              <w:rPr>
                <w:rFonts w:ascii="仿宋_GB2312" w:eastAsia="仿宋_GB2312"/>
                <w:b/>
                <w:sz w:val="24"/>
              </w:rPr>
            </w:pPr>
            <w:r>
              <w:rPr>
                <w:rFonts w:hint="eastAsia" w:ascii="仿宋_GB2312" w:eastAsia="仿宋_GB2312"/>
                <w:b/>
                <w:sz w:val="24"/>
              </w:rPr>
              <w:t>数据一</w:t>
            </w:r>
          </w:p>
        </w:tc>
        <w:tc>
          <w:tcPr>
            <w:tcW w:w="1963" w:type="dxa"/>
            <w:gridSpan w:val="4"/>
            <w:vAlign w:val="center"/>
          </w:tcPr>
          <w:p>
            <w:pPr>
              <w:widowControl/>
              <w:jc w:val="center"/>
              <w:rPr>
                <w:rFonts w:ascii="仿宋_GB2312" w:eastAsia="仿宋_GB2312"/>
                <w:b/>
                <w:sz w:val="24"/>
              </w:rPr>
            </w:pPr>
            <w:r>
              <w:rPr>
                <w:rFonts w:hint="eastAsia" w:ascii="仿宋_GB2312" w:eastAsia="仿宋_GB2312"/>
                <w:b/>
                <w:sz w:val="24"/>
              </w:rPr>
              <w:t>数值</w:t>
            </w:r>
          </w:p>
        </w:tc>
        <w:tc>
          <w:tcPr>
            <w:tcW w:w="2878" w:type="dxa"/>
            <w:gridSpan w:val="4"/>
            <w:vAlign w:val="center"/>
          </w:tcPr>
          <w:p>
            <w:pPr>
              <w:widowControl/>
              <w:jc w:val="center"/>
              <w:rPr>
                <w:rFonts w:ascii="仿宋_GB2312" w:eastAsia="仿宋_GB2312"/>
                <w:b/>
                <w:sz w:val="24"/>
              </w:rPr>
            </w:pPr>
            <w:r>
              <w:rPr>
                <w:rFonts w:hint="eastAsia" w:ascii="仿宋_GB2312" w:eastAsia="仿宋_GB2312"/>
                <w:b/>
                <w:sz w:val="24"/>
              </w:rPr>
              <w:t>数据二</w:t>
            </w:r>
          </w:p>
        </w:tc>
        <w:tc>
          <w:tcPr>
            <w:tcW w:w="2018" w:type="dxa"/>
            <w:vAlign w:val="center"/>
          </w:tcPr>
          <w:p>
            <w:pPr>
              <w:widowControl/>
              <w:jc w:val="center"/>
              <w:rPr>
                <w:rFonts w:ascii="仿宋_GB2312" w:eastAsia="仿宋_GB2312"/>
                <w:b/>
                <w:sz w:val="24"/>
              </w:rPr>
            </w:pPr>
            <w:r>
              <w:rPr>
                <w:rFonts w:hint="eastAsia" w:ascii="仿宋_GB2312" w:eastAsia="仿宋_GB2312"/>
                <w:b/>
                <w:sz w:val="24"/>
              </w:rPr>
              <w:t>数值</w:t>
            </w:r>
          </w:p>
        </w:tc>
        <w:tc>
          <w:tcPr>
            <w:tcW w:w="1537" w:type="dxa"/>
            <w:gridSpan w:val="2"/>
            <w:vAlign w:val="center"/>
          </w:tcPr>
          <w:p>
            <w:pPr>
              <w:widowControl/>
              <w:jc w:val="center"/>
              <w:rPr>
                <w:rFonts w:ascii="仿宋_GB2312" w:eastAsia="仿宋_GB2312"/>
                <w:b/>
                <w:sz w:val="24"/>
              </w:rPr>
            </w:pPr>
            <w:r>
              <w:rPr>
                <w:rFonts w:hint="eastAsia" w:ascii="仿宋_GB2312" w:eastAsia="仿宋_GB2312"/>
                <w:b/>
                <w:sz w:val="24"/>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1.</w:t>
            </w:r>
            <w:r>
              <w:rPr>
                <w:rFonts w:hint="eastAsia" w:ascii="仿宋_GB2312" w:eastAsia="仿宋_GB2312"/>
                <w:bCs/>
                <w:color w:val="000000" w:themeColor="text1"/>
                <w:sz w:val="24"/>
              </w:rPr>
              <w:t>本年单位事前绩效评估执行情况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color w:val="000000" w:themeColor="text1"/>
                <w:sz w:val="24"/>
              </w:rPr>
              <w:t>本年新增重大项目数量</w:t>
            </w:r>
          </w:p>
        </w:tc>
        <w:tc>
          <w:tcPr>
            <w:tcW w:w="1963" w:type="dxa"/>
            <w:gridSpan w:val="4"/>
            <w:vAlign w:val="center"/>
          </w:tcPr>
          <w:p>
            <w:pPr>
              <w:widowControl/>
              <w:jc w:val="left"/>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color w:val="000000" w:themeColor="text1"/>
                <w:sz w:val="24"/>
              </w:rPr>
              <w:t>已开展事前绩效评估的本年新增重大项目数量</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2.</w:t>
            </w:r>
            <w:r>
              <w:rPr>
                <w:rFonts w:hint="eastAsia" w:ascii="仿宋_GB2312" w:eastAsia="仿宋_GB2312"/>
                <w:bCs/>
                <w:color w:val="000000" w:themeColor="text1"/>
                <w:sz w:val="24"/>
              </w:rPr>
              <w:t>本年单位项目支出绩效目标管理情况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color w:val="000000" w:themeColor="text1"/>
                <w:sz w:val="24"/>
              </w:rPr>
              <w:t>项目总数</w:t>
            </w:r>
          </w:p>
        </w:tc>
        <w:tc>
          <w:tcPr>
            <w:tcW w:w="1963" w:type="dxa"/>
            <w:gridSpan w:val="4"/>
            <w:vAlign w:val="center"/>
          </w:tcPr>
          <w:p>
            <w:pPr>
              <w:widowControl/>
              <w:jc w:val="left"/>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color w:val="000000" w:themeColor="text1"/>
                <w:sz w:val="24"/>
              </w:rPr>
              <w:t>已开展绩效目标管理的项目数量</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3.</w:t>
            </w:r>
            <w:r>
              <w:rPr>
                <w:rFonts w:hint="eastAsia" w:ascii="仿宋_GB2312" w:eastAsia="仿宋_GB2312"/>
                <w:bCs/>
                <w:color w:val="000000" w:themeColor="text1"/>
                <w:sz w:val="24"/>
              </w:rPr>
              <w:t>本年单位预算绩效运行监控执行情况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color w:val="000000" w:themeColor="text1"/>
                <w:sz w:val="24"/>
              </w:rPr>
              <w:t>项目总数</w:t>
            </w:r>
          </w:p>
        </w:tc>
        <w:tc>
          <w:tcPr>
            <w:tcW w:w="1963" w:type="dxa"/>
            <w:gridSpan w:val="4"/>
            <w:vAlign w:val="center"/>
          </w:tcPr>
          <w:p>
            <w:pPr>
              <w:widowControl/>
              <w:jc w:val="left"/>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color w:val="000000" w:themeColor="text1"/>
                <w:sz w:val="24"/>
              </w:rPr>
              <w:t>已开展预算绩效运行监控的项目数量</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bCs/>
                <w:color w:val="000000" w:themeColor="text1"/>
                <w:sz w:val="24"/>
              </w:rPr>
              <w:t>4.</w:t>
            </w:r>
            <w:r>
              <w:rPr>
                <w:rFonts w:hint="eastAsia" w:ascii="仿宋_GB2312" w:eastAsia="仿宋_GB2312"/>
                <w:bCs/>
                <w:color w:val="000000" w:themeColor="text1"/>
                <w:sz w:val="24"/>
              </w:rPr>
              <w:t>本年单位预算绩效自评执行情况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color w:val="000000" w:themeColor="text1"/>
                <w:sz w:val="24"/>
              </w:rPr>
              <w:t>项目总数</w:t>
            </w:r>
          </w:p>
        </w:tc>
        <w:tc>
          <w:tcPr>
            <w:tcW w:w="1963" w:type="dxa"/>
            <w:gridSpan w:val="4"/>
            <w:vAlign w:val="center"/>
          </w:tcPr>
          <w:p>
            <w:pPr>
              <w:widowControl/>
              <w:jc w:val="left"/>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color w:val="000000" w:themeColor="text1"/>
                <w:sz w:val="24"/>
              </w:rPr>
              <w:t>已开展预算绩效自评的项目数量</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strike/>
                <w:color w:val="000000" w:themeColor="text1"/>
                <w:sz w:val="24"/>
              </w:rPr>
            </w:pPr>
            <w:r>
              <w:rPr>
                <w:rFonts w:ascii="仿宋_GB2312" w:eastAsia="仿宋_GB2312" w:hAnsiTheme="minorEastAsia"/>
                <w:color w:val="000000" w:themeColor="text1"/>
                <w:sz w:val="24"/>
              </w:rPr>
              <w:t>5.</w:t>
            </w:r>
            <w:r>
              <w:rPr>
                <w:rFonts w:hint="eastAsia" w:ascii="仿宋_GB2312" w:eastAsia="仿宋_GB2312" w:hAnsiTheme="minorEastAsia"/>
                <w:color w:val="000000" w:themeColor="text1"/>
                <w:sz w:val="24"/>
              </w:rPr>
              <w:t>非税收入管控情况</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应上缴非税收入金额</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实际上缴非税收入金额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6.</w:t>
            </w:r>
            <w:r>
              <w:rPr>
                <w:rFonts w:hint="eastAsia" w:ascii="仿宋_GB2312" w:eastAsia="仿宋_GB2312" w:hAnsiTheme="minorEastAsia"/>
                <w:color w:val="000000" w:themeColor="text1"/>
                <w:sz w:val="24"/>
              </w:rPr>
              <w:t>本年支出预决算对比情况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本年支出预算金额</w:t>
            </w:r>
          </w:p>
        </w:tc>
        <w:tc>
          <w:tcPr>
            <w:tcW w:w="1963" w:type="dxa"/>
            <w:gridSpan w:val="4"/>
            <w:vAlign w:val="center"/>
          </w:tcPr>
          <w:p>
            <w:pPr>
              <w:widowControl/>
              <w:jc w:val="left"/>
              <w:rPr>
                <w:rFonts w:ascii="仿宋_GB2312" w:eastAsia="仿宋_GB2312" w:hAnsiTheme="minorEastAsia"/>
                <w:color w:val="000000" w:themeColor="text1"/>
                <w:sz w:val="24"/>
              </w:rPr>
            </w:pPr>
          </w:p>
        </w:tc>
        <w:tc>
          <w:tcPr>
            <w:tcW w:w="2878" w:type="dxa"/>
            <w:gridSpan w:val="4"/>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本年实际支出总额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7.</w:t>
            </w:r>
            <w:r>
              <w:rPr>
                <w:rFonts w:hint="eastAsia" w:ascii="仿宋_GB2312" w:eastAsia="仿宋_GB2312" w:hAnsiTheme="minorEastAsia"/>
                <w:color w:val="000000" w:themeColor="text1"/>
                <w:sz w:val="24"/>
              </w:rPr>
              <w:t>“三公”经费支出上下年对比情况</w:t>
            </w:r>
          </w:p>
        </w:tc>
        <w:tc>
          <w:tcPr>
            <w:tcW w:w="1159" w:type="dxa"/>
            <w:gridSpan w:val="2"/>
            <w:vAlign w:val="center"/>
          </w:tcPr>
          <w:p>
            <w:pPr>
              <w:widowControl/>
              <w:jc w:val="center"/>
              <w:rPr>
                <w:rFonts w:ascii="仿宋_GB2312" w:hAnsi="楷体"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上年“三公”经费决算数</w:t>
            </w:r>
          </w:p>
        </w:tc>
        <w:tc>
          <w:tcPr>
            <w:tcW w:w="1963" w:type="dxa"/>
            <w:gridSpan w:val="4"/>
            <w:vAlign w:val="center"/>
          </w:tcPr>
          <w:p>
            <w:pPr>
              <w:widowControl/>
              <w:jc w:val="left"/>
              <w:rPr>
                <w:rFonts w:ascii="仿宋_GB2312" w:eastAsia="仿宋_GB2312" w:hAnsiTheme="minorEastAsia"/>
                <w:color w:val="000000" w:themeColor="text1"/>
                <w:sz w:val="24"/>
              </w:rPr>
            </w:pPr>
          </w:p>
        </w:tc>
        <w:tc>
          <w:tcPr>
            <w:tcW w:w="2878" w:type="dxa"/>
            <w:gridSpan w:val="4"/>
            <w:vAlign w:val="center"/>
          </w:tcPr>
          <w:p>
            <w:pPr>
              <w:widowControl/>
              <w:jc w:val="left"/>
              <w:rPr>
                <w:rFonts w:ascii="仿宋_GB2312" w:eastAsia="仿宋_GB2312" w:hAnsiTheme="minorEastAsia"/>
                <w:color w:val="000000" w:themeColor="text1"/>
                <w:sz w:val="24"/>
              </w:rPr>
            </w:pPr>
            <w:r>
              <w:rPr>
                <w:rFonts w:hint="eastAsia" w:ascii="仿宋_GB2312" w:eastAsia="仿宋_GB2312" w:hAnsiTheme="minorEastAsia"/>
                <w:color w:val="000000" w:themeColor="text1"/>
                <w:sz w:val="24"/>
              </w:rPr>
              <w:t>本年“三公”经费决算数</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8.</w:t>
            </w:r>
            <w:r>
              <w:rPr>
                <w:rFonts w:hint="eastAsia" w:ascii="仿宋_GB2312" w:eastAsia="仿宋_GB2312" w:hAnsiTheme="minorEastAsia"/>
                <w:color w:val="000000" w:themeColor="text1"/>
                <w:sz w:val="24"/>
              </w:rPr>
              <w:t>政府采购预算完成情况</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本年计划采购金额</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本年实际采购金额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strike/>
                <w:color w:val="000000" w:themeColor="text1"/>
                <w:sz w:val="24"/>
              </w:rPr>
            </w:pPr>
            <w:r>
              <w:rPr>
                <w:rFonts w:ascii="仿宋_GB2312" w:eastAsia="仿宋_GB2312" w:hAnsiTheme="minorEastAsia"/>
                <w:color w:val="000000" w:themeColor="text1"/>
                <w:sz w:val="24"/>
              </w:rPr>
              <w:t>9.</w:t>
            </w:r>
            <w:r>
              <w:rPr>
                <w:rFonts w:hint="eastAsia" w:ascii="仿宋_GB2312" w:eastAsia="仿宋_GB2312" w:hAnsiTheme="minorEastAsia"/>
                <w:color w:val="000000" w:themeColor="text1"/>
                <w:sz w:val="24"/>
              </w:rPr>
              <w:t>资产账实相符程度</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年末总资产账面金额</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年末资产清查总额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10.</w:t>
            </w:r>
            <w:r>
              <w:rPr>
                <w:rFonts w:hint="eastAsia" w:ascii="仿宋_GB2312" w:eastAsia="仿宋_GB2312" w:hAnsiTheme="minorEastAsia"/>
                <w:sz w:val="24"/>
              </w:rPr>
              <w:t>固定资产处置规范程度</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固定资产本期减少额</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固定资产处置审批金额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11.</w:t>
            </w:r>
            <w:r>
              <w:rPr>
                <w:rFonts w:hint="eastAsia" w:ascii="仿宋_GB2312" w:eastAsia="仿宋_GB2312" w:hAnsiTheme="minorEastAsia"/>
                <w:color w:val="000000" w:themeColor="text1"/>
                <w:sz w:val="24"/>
              </w:rPr>
              <w:t>项目投资计划完成情况</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年度投资计划总额</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年度实际投资额</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2874" w:type="dxa"/>
            <w:gridSpan w:val="2"/>
            <w:vAlign w:val="center"/>
          </w:tcPr>
          <w:p>
            <w:pPr>
              <w:widowControl/>
              <w:rPr>
                <w:rFonts w:ascii="仿宋_GB2312" w:eastAsia="仿宋_GB2312" w:hAnsiTheme="minorEastAsia"/>
                <w:color w:val="000000" w:themeColor="text1"/>
                <w:sz w:val="24"/>
              </w:rPr>
            </w:pPr>
            <w:r>
              <w:rPr>
                <w:rFonts w:ascii="仿宋_GB2312" w:eastAsia="仿宋_GB2312" w:hAnsiTheme="minorEastAsia"/>
                <w:color w:val="000000" w:themeColor="text1"/>
                <w:sz w:val="24"/>
              </w:rPr>
              <w:t>12.</w:t>
            </w:r>
            <w:r>
              <w:rPr>
                <w:rFonts w:hint="eastAsia" w:ascii="仿宋_GB2312" w:eastAsia="仿宋_GB2312" w:hAnsiTheme="minorEastAsia"/>
                <w:color w:val="000000" w:themeColor="text1"/>
                <w:sz w:val="24"/>
              </w:rPr>
              <w:t>合同订立规范情况</w:t>
            </w:r>
          </w:p>
        </w:tc>
        <w:tc>
          <w:tcPr>
            <w:tcW w:w="1159" w:type="dxa"/>
            <w:gridSpan w:val="2"/>
            <w:vAlign w:val="center"/>
          </w:tcPr>
          <w:p>
            <w:pPr>
              <w:widowControl/>
              <w:jc w:val="center"/>
              <w:rPr>
                <w:rFonts w:ascii="仿宋_GB2312" w:eastAsia="仿宋_GB2312"/>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c>
          <w:tcPr>
            <w:tcW w:w="2741" w:type="dxa"/>
            <w:gridSpan w:val="2"/>
            <w:vAlign w:val="center"/>
          </w:tcPr>
          <w:p>
            <w:pPr>
              <w:widowControl/>
              <w:jc w:val="left"/>
              <w:rPr>
                <w:rFonts w:ascii="仿宋_GB2312" w:eastAsia="仿宋_GB2312"/>
                <w:sz w:val="24"/>
              </w:rPr>
            </w:pPr>
            <w:r>
              <w:rPr>
                <w:rFonts w:hint="eastAsia" w:ascii="仿宋_GB2312" w:eastAsia="仿宋_GB2312"/>
                <w:sz w:val="24"/>
              </w:rPr>
              <w:t>合同订立数</w:t>
            </w:r>
          </w:p>
        </w:tc>
        <w:tc>
          <w:tcPr>
            <w:tcW w:w="1963" w:type="dxa"/>
            <w:gridSpan w:val="4"/>
            <w:vAlign w:val="center"/>
          </w:tcPr>
          <w:p>
            <w:pPr>
              <w:widowControl/>
              <w:jc w:val="center"/>
              <w:rPr>
                <w:rFonts w:ascii="仿宋_GB2312" w:eastAsia="仿宋_GB2312"/>
                <w:sz w:val="24"/>
              </w:rPr>
            </w:pPr>
          </w:p>
        </w:tc>
        <w:tc>
          <w:tcPr>
            <w:tcW w:w="2878" w:type="dxa"/>
            <w:gridSpan w:val="4"/>
            <w:vAlign w:val="center"/>
          </w:tcPr>
          <w:p>
            <w:pPr>
              <w:widowControl/>
              <w:jc w:val="left"/>
              <w:rPr>
                <w:rFonts w:ascii="仿宋_GB2312" w:eastAsia="仿宋_GB2312"/>
                <w:sz w:val="24"/>
              </w:rPr>
            </w:pPr>
            <w:r>
              <w:rPr>
                <w:rFonts w:hint="eastAsia" w:ascii="仿宋_GB2312" w:eastAsia="仿宋_GB2312"/>
                <w:sz w:val="24"/>
              </w:rPr>
              <w:t>经合法性审查的合同数</w:t>
            </w:r>
          </w:p>
        </w:tc>
        <w:tc>
          <w:tcPr>
            <w:tcW w:w="2018" w:type="dxa"/>
            <w:vAlign w:val="center"/>
          </w:tcPr>
          <w:p>
            <w:pPr>
              <w:widowControl/>
              <w:jc w:val="center"/>
              <w:rPr>
                <w:rFonts w:ascii="仿宋_GB2312" w:eastAsia="仿宋_GB2312"/>
                <w:sz w:val="24"/>
              </w:rPr>
            </w:pPr>
          </w:p>
        </w:tc>
        <w:tc>
          <w:tcPr>
            <w:tcW w:w="1537" w:type="dxa"/>
            <w:gridSpan w:val="2"/>
            <w:vAlign w:val="center"/>
          </w:tcPr>
          <w:p>
            <w:pPr>
              <w:widowControl/>
              <w:jc w:val="center"/>
              <w:rPr>
                <w:rFonts w:ascii="仿宋_GB2312" w:hAnsi="楷体"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color w:val="000000" w:themeColor="text1"/>
                <w:sz w:val="24"/>
              </w:rPr>
            </w:pPr>
            <w:r>
              <w:rPr>
                <w:rFonts w:hint="eastAsia" w:ascii="仿宋_GB2312" w:eastAsia="仿宋_GB2312"/>
                <w:b/>
                <w:color w:val="000000" w:themeColor="text1"/>
                <w:sz w:val="24"/>
              </w:rPr>
              <w:t>三、内部控制信息化情况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3792" w:type="dxa"/>
            <w:gridSpan w:val="3"/>
            <w:vAlign w:val="center"/>
          </w:tcPr>
          <w:p>
            <w:pPr>
              <w:widowControl/>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单位内部控制信息化覆盖情况</w:t>
            </w:r>
          </w:p>
        </w:tc>
        <w:tc>
          <w:tcPr>
            <w:tcW w:w="3792" w:type="dxa"/>
            <w:gridSpan w:val="6"/>
            <w:vAlign w:val="center"/>
          </w:tcPr>
          <w:p>
            <w:pPr>
              <w:widowControl/>
              <w:rPr>
                <w:rFonts w:ascii="仿宋_GB2312" w:eastAsia="仿宋_GB2312"/>
                <w:color w:val="000000" w:themeColor="text1"/>
                <w:sz w:val="24"/>
              </w:rPr>
            </w:pPr>
            <w:r>
              <w:rPr>
                <w:rFonts w:hint="eastAsia" w:ascii="仿宋_GB2312" w:hAnsi="楷体" w:eastAsia="仿宋_GB2312"/>
                <w:sz w:val="24"/>
              </w:rPr>
              <w:t>预算业务管理</w:t>
            </w:r>
            <w:r>
              <w:rPr>
                <w:rFonts w:ascii="仿宋_GB2312" w:hAnsi="楷体" w:eastAsia="仿宋_GB2312"/>
                <w:sz w:val="24"/>
              </w:rPr>
              <w:t>/</w:t>
            </w:r>
            <w:r>
              <w:rPr>
                <w:rFonts w:hint="eastAsia" w:ascii="仿宋_GB2312" w:hAnsi="楷体" w:eastAsia="仿宋_GB2312"/>
                <w:sz w:val="24"/>
              </w:rPr>
              <w:t>收支业务管理</w:t>
            </w:r>
            <w:r>
              <w:rPr>
                <w:rFonts w:ascii="仿宋_GB2312" w:hAnsi="楷体" w:eastAsia="仿宋_GB2312"/>
                <w:sz w:val="24"/>
              </w:rPr>
              <w:t>/</w:t>
            </w:r>
            <w:r>
              <w:rPr>
                <w:rFonts w:hint="eastAsia" w:ascii="仿宋_GB2312" w:hAnsi="楷体" w:eastAsia="仿宋_GB2312"/>
                <w:sz w:val="24"/>
              </w:rPr>
              <w:t>政府采购业务管理</w:t>
            </w:r>
            <w:r>
              <w:rPr>
                <w:rFonts w:ascii="仿宋_GB2312" w:hAnsi="楷体" w:eastAsia="仿宋_GB2312"/>
                <w:sz w:val="24"/>
              </w:rPr>
              <w:t>/</w:t>
            </w:r>
            <w:r>
              <w:rPr>
                <w:rFonts w:hint="eastAsia" w:ascii="仿宋_GB2312" w:hAnsi="楷体" w:eastAsia="仿宋_GB2312"/>
                <w:sz w:val="24"/>
              </w:rPr>
              <w:t>国有资产业务管理</w:t>
            </w:r>
            <w:r>
              <w:rPr>
                <w:rFonts w:ascii="仿宋_GB2312" w:hAnsi="楷体" w:eastAsia="仿宋_GB2312"/>
                <w:sz w:val="24"/>
              </w:rPr>
              <w:t>/</w:t>
            </w:r>
            <w:r>
              <w:rPr>
                <w:rFonts w:hint="eastAsia" w:ascii="仿宋_GB2312" w:hAnsi="楷体" w:eastAsia="仿宋_GB2312"/>
                <w:sz w:val="24"/>
              </w:rPr>
              <w:t>建设项目业务管理</w:t>
            </w:r>
            <w:r>
              <w:rPr>
                <w:rFonts w:ascii="仿宋_GB2312" w:hAnsi="楷体" w:eastAsia="仿宋_GB2312"/>
                <w:sz w:val="24"/>
              </w:rPr>
              <w:t>/</w:t>
            </w:r>
            <w:r>
              <w:rPr>
                <w:rFonts w:hint="eastAsia" w:ascii="仿宋_GB2312" w:hAnsi="楷体" w:eastAsia="仿宋_GB2312"/>
                <w:sz w:val="24"/>
              </w:rPr>
              <w:t>合同业务管理</w:t>
            </w:r>
            <w:r>
              <w:rPr>
                <w:rFonts w:ascii="仿宋_GB2312" w:hAnsi="楷体" w:eastAsia="仿宋_GB2312"/>
                <w:sz w:val="24"/>
              </w:rPr>
              <w:t>/</w:t>
            </w:r>
            <w:r>
              <w:rPr>
                <w:rFonts w:hint="eastAsia" w:ascii="仿宋_GB2312" w:hAnsi="楷体" w:eastAsia="仿宋_GB2312"/>
                <w:sz w:val="24"/>
              </w:rPr>
              <w:t>其他</w:t>
            </w:r>
            <w:r>
              <w:rPr>
                <w:rFonts w:ascii="仿宋_GB2312" w:hAnsi="楷体" w:eastAsia="仿宋_GB2312"/>
                <w:sz w:val="24"/>
              </w:rPr>
              <w:t>/</w:t>
            </w:r>
            <w:r>
              <w:rPr>
                <w:rFonts w:hint="eastAsia" w:ascii="仿宋_GB2312" w:hAnsi="楷体" w:eastAsia="仿宋_GB2312"/>
                <w:sz w:val="24"/>
              </w:rPr>
              <w:t>未覆盖</w:t>
            </w:r>
          </w:p>
        </w:tc>
        <w:tc>
          <w:tcPr>
            <w:tcW w:w="3792" w:type="dxa"/>
            <w:gridSpan w:val="4"/>
            <w:vAlign w:val="center"/>
          </w:tcPr>
          <w:p>
            <w:pPr>
              <w:widowControl/>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单位内部控制信息化模块联通情况</w:t>
            </w:r>
          </w:p>
        </w:tc>
        <w:tc>
          <w:tcPr>
            <w:tcW w:w="3794" w:type="dxa"/>
            <w:gridSpan w:val="4"/>
            <w:vAlign w:val="center"/>
          </w:tcPr>
          <w:p>
            <w:pPr>
              <w:widowControl/>
              <w:rPr>
                <w:rFonts w:ascii="仿宋_GB2312" w:eastAsia="仿宋_GB2312"/>
                <w:color w:val="000000" w:themeColor="text1"/>
                <w:sz w:val="24"/>
              </w:rPr>
            </w:pPr>
            <w:r>
              <w:rPr>
                <w:rFonts w:hint="eastAsia" w:ascii="仿宋_GB2312" w:hAnsi="楷体" w:eastAsia="仿宋_GB2312"/>
                <w:sz w:val="24"/>
              </w:rPr>
              <w:t>内部控制信息化实现互联互通模块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Align w:val="center"/>
          </w:tcPr>
          <w:p>
            <w:pPr>
              <w:widowControl/>
              <w:rPr>
                <w:rFonts w:ascii="仿宋_GB2312" w:eastAsia="仿宋_GB2312"/>
                <w:color w:val="000000" w:themeColor="text1"/>
                <w:sz w:val="24"/>
              </w:rPr>
            </w:pPr>
            <w:r>
              <w:rPr>
                <w:rFonts w:ascii="仿宋_GB2312" w:eastAsia="仿宋_GB2312"/>
                <w:color w:val="000000" w:themeColor="text1"/>
                <w:sz w:val="24"/>
              </w:rPr>
              <w:t>3.</w:t>
            </w:r>
            <w:r>
              <w:rPr>
                <w:rFonts w:hint="eastAsia" w:ascii="仿宋_GB2312" w:eastAsia="仿宋_GB2312"/>
                <w:color w:val="000000" w:themeColor="text1"/>
                <w:sz w:val="24"/>
              </w:rPr>
              <w:t>是否联通政府会计核算模块</w:t>
            </w:r>
          </w:p>
        </w:tc>
        <w:tc>
          <w:tcPr>
            <w:tcW w:w="11378" w:type="dxa"/>
            <w:gridSpan w:val="14"/>
            <w:vAlign w:val="center"/>
          </w:tcPr>
          <w:p>
            <w:pPr>
              <w:widowControl/>
              <w:rPr>
                <w:rFonts w:ascii="仿宋_GB2312" w:eastAsia="仿宋_GB2312"/>
                <w:color w:val="000000" w:themeColor="text1"/>
                <w:sz w:val="24"/>
              </w:rPr>
            </w:pPr>
            <w:r>
              <w:rPr>
                <w:rFonts w:hint="eastAsia" w:ascii="仿宋_GB2312" w:hAnsi="楷体" w:eastAsia="仿宋_GB2312"/>
                <w:color w:val="000000" w:themeColor="text1"/>
                <w:sz w:val="24"/>
              </w:rPr>
              <w:t>是</w:t>
            </w:r>
            <w:r>
              <w:rPr>
                <w:rFonts w:ascii="仿宋_GB2312" w:hAnsi="楷体" w:eastAsia="仿宋_GB2312"/>
                <w:color w:val="000000" w:themeColor="text1"/>
                <w:sz w:val="24"/>
              </w:rPr>
              <w:t>/</w:t>
            </w:r>
            <w:r>
              <w:rPr>
                <w:rFonts w:hint="eastAsia" w:ascii="仿宋_GB2312" w:hAnsi="楷体" w:eastAsia="仿宋_GB2312"/>
                <w:color w:val="000000" w:themeColor="text1"/>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color w:val="000000" w:themeColor="text1"/>
                <w:sz w:val="24"/>
              </w:rPr>
            </w:pPr>
            <w:r>
              <w:rPr>
                <w:rFonts w:hint="eastAsia" w:ascii="仿宋_GB2312" w:eastAsia="仿宋_GB2312"/>
                <w:b/>
                <w:color w:val="000000" w:themeColor="text1"/>
                <w:sz w:val="24"/>
              </w:rPr>
              <w:t>四、本年单位内部控制工作的新做法和新成效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0" w:hRule="atLeast"/>
          <w:jc w:val="center"/>
        </w:trPr>
        <w:tc>
          <w:tcPr>
            <w:tcW w:w="15170" w:type="dxa"/>
            <w:gridSpan w:val="17"/>
            <w:vAlign w:val="center"/>
          </w:tcPr>
          <w:p>
            <w:pPr>
              <w:rPr>
                <w:rFonts w:ascii="仿宋_GB2312" w:eastAsia="仿宋_GB2312"/>
                <w:color w:val="000000" w:themeColor="text1"/>
              </w:rPr>
            </w:pPr>
          </w:p>
          <w:p>
            <w:pPr>
              <w:rPr>
                <w:rFonts w:ascii="仿宋_GB2312" w:eastAsia="仿宋_GB2312"/>
                <w:color w:val="000000" w:themeColor="text1"/>
              </w:rPr>
            </w:pPr>
          </w:p>
          <w:p>
            <w:pPr>
              <w:rPr>
                <w:rFonts w:ascii="仿宋_GB2312" w:eastAsia="仿宋_GB2312"/>
                <w:color w:val="000000" w:themeColor="text1"/>
              </w:rPr>
            </w:pPr>
          </w:p>
          <w:p>
            <w:pPr>
              <w:rPr>
                <w:rFonts w:ascii="仿宋_GB2312" w:eastAsia="仿宋_GB2312"/>
                <w:color w:val="000000" w:themeColor="text1"/>
              </w:rPr>
            </w:pPr>
          </w:p>
          <w:p>
            <w:pPr>
              <w:rPr>
                <w:rFonts w:ascii="仿宋_GB2312" w:eastAsia="仿宋_GB2312"/>
                <w:color w:val="000000" w:themeColor="text1"/>
              </w:rPr>
            </w:pPr>
          </w:p>
          <w:p>
            <w:pPr>
              <w:rPr>
                <w:rFonts w:ascii="仿宋_GB2312" w:eastAsia="仿宋_GB2312"/>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color w:val="000000" w:themeColor="text1"/>
                <w:sz w:val="24"/>
              </w:rPr>
            </w:pPr>
            <w:r>
              <w:rPr>
                <w:rFonts w:hint="eastAsia" w:ascii="仿宋_GB2312" w:eastAsia="仿宋_GB2312"/>
                <w:b/>
                <w:color w:val="000000" w:themeColor="text1"/>
                <w:sz w:val="24"/>
              </w:rPr>
              <w:t>五、本年单位内部控制工作的新问题或新挑战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1" w:hRule="atLeast"/>
          <w:jc w:val="center"/>
        </w:trPr>
        <w:tc>
          <w:tcPr>
            <w:tcW w:w="15170" w:type="dxa"/>
            <w:gridSpan w:val="17"/>
            <w:vAlign w:val="center"/>
          </w:tcPr>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rPr>
                <w:rFonts w:ascii="仿宋_GB2312" w:eastAsia="仿宋_GB2312"/>
                <w:b/>
                <w:color w:val="000000" w:themeColor="text1"/>
                <w:sz w:val="24"/>
              </w:rPr>
            </w:pPr>
            <w:r>
              <w:rPr>
                <w:rFonts w:hint="eastAsia" w:ascii="仿宋_GB2312" w:eastAsia="仿宋_GB2312"/>
                <w:b/>
                <w:color w:val="000000" w:themeColor="text1"/>
                <w:sz w:val="24"/>
              </w:rPr>
              <w:t>六、对当前行政事业单位内部控制工作的意见或建议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4" w:hRule="atLeast"/>
          <w:jc w:val="center"/>
        </w:trPr>
        <w:tc>
          <w:tcPr>
            <w:tcW w:w="15170" w:type="dxa"/>
            <w:gridSpan w:val="17"/>
            <w:vAlign w:val="center"/>
          </w:tcPr>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p>
            <w:pPr>
              <w:widowControl/>
              <w:rPr>
                <w:rFonts w:ascii="仿宋_GB2312" w:eastAsia="仿宋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15170" w:type="dxa"/>
            <w:gridSpan w:val="17"/>
            <w:vAlign w:val="center"/>
          </w:tcPr>
          <w:p>
            <w:pPr>
              <w:widowControl/>
              <w:jc w:val="left"/>
              <w:rPr>
                <w:rFonts w:ascii="仿宋_GB2312" w:eastAsia="仿宋_GB2312"/>
                <w:b/>
                <w:color w:val="000000" w:themeColor="text1"/>
                <w:sz w:val="28"/>
                <w:szCs w:val="28"/>
              </w:rPr>
            </w:pPr>
            <w:r>
              <w:rPr>
                <w:rFonts w:hint="eastAsia" w:ascii="仿宋_GB2312" w:eastAsia="仿宋_GB2312"/>
                <w:b/>
                <w:color w:val="000000" w:themeColor="text1"/>
                <w:sz w:val="28"/>
                <w:szCs w:val="28"/>
              </w:rPr>
              <w:t>第三部分：单位内部控制存在问题和建议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3792" w:type="dxa"/>
            <w:gridSpan w:val="3"/>
            <w:vAlign w:val="center"/>
          </w:tcPr>
          <w:p>
            <w:pPr>
              <w:widowControl/>
              <w:jc w:val="center"/>
              <w:rPr>
                <w:rFonts w:ascii="仿宋_GB2312" w:eastAsia="仿宋_GB2312"/>
                <w:sz w:val="24"/>
              </w:rPr>
            </w:pPr>
            <w:r>
              <w:rPr>
                <w:rFonts w:hint="eastAsia" w:ascii="仿宋_GB2312" w:eastAsia="仿宋_GB2312"/>
                <w:sz w:val="24"/>
              </w:rPr>
              <w:t>问题领域</w:t>
            </w:r>
          </w:p>
        </w:tc>
        <w:tc>
          <w:tcPr>
            <w:tcW w:w="3792" w:type="dxa"/>
            <w:gridSpan w:val="6"/>
            <w:vAlign w:val="center"/>
          </w:tcPr>
          <w:p>
            <w:pPr>
              <w:widowControl/>
              <w:jc w:val="center"/>
              <w:rPr>
                <w:rFonts w:ascii="仿宋_GB2312" w:eastAsia="仿宋_GB2312"/>
                <w:sz w:val="24"/>
              </w:rPr>
            </w:pPr>
            <w:r>
              <w:rPr>
                <w:rFonts w:hint="eastAsia" w:ascii="仿宋_GB2312" w:eastAsia="仿宋_GB2312"/>
                <w:sz w:val="24"/>
              </w:rPr>
              <w:t>问题分类</w:t>
            </w:r>
          </w:p>
        </w:tc>
        <w:tc>
          <w:tcPr>
            <w:tcW w:w="3792" w:type="dxa"/>
            <w:gridSpan w:val="4"/>
            <w:vAlign w:val="center"/>
          </w:tcPr>
          <w:p>
            <w:pPr>
              <w:widowControl/>
              <w:jc w:val="center"/>
              <w:rPr>
                <w:rFonts w:ascii="仿宋_GB2312" w:eastAsia="仿宋_GB2312"/>
                <w:sz w:val="24"/>
              </w:rPr>
            </w:pPr>
            <w:r>
              <w:rPr>
                <w:rFonts w:hint="eastAsia" w:ascii="仿宋_GB2312" w:eastAsia="仿宋_GB2312"/>
                <w:sz w:val="24"/>
              </w:rPr>
              <w:t>存在问题</w:t>
            </w:r>
          </w:p>
        </w:tc>
        <w:tc>
          <w:tcPr>
            <w:tcW w:w="3794" w:type="dxa"/>
            <w:gridSpan w:val="4"/>
            <w:vAlign w:val="center"/>
          </w:tcPr>
          <w:p>
            <w:pPr>
              <w:widowControl/>
              <w:jc w:val="center"/>
              <w:rPr>
                <w:rFonts w:ascii="仿宋_GB2312" w:eastAsia="仿宋_GB2312"/>
                <w:sz w:val="24"/>
              </w:rPr>
            </w:pPr>
            <w:r>
              <w:rPr>
                <w:rFonts w:hint="eastAsia" w:ascii="仿宋_GB2312" w:eastAsia="仿宋_GB2312"/>
                <w:sz w:val="24"/>
              </w:rPr>
              <w:t>完善建议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单位层面</w:t>
            </w:r>
          </w:p>
        </w:tc>
        <w:tc>
          <w:tcPr>
            <w:tcW w:w="3792" w:type="dxa"/>
            <w:gridSpan w:val="6"/>
            <w:vAlign w:val="center"/>
          </w:tcPr>
          <w:p>
            <w:pPr>
              <w:widowControl/>
              <w:rPr>
                <w:rFonts w:ascii="仿宋_GB2312" w:eastAsia="仿宋_GB2312" w:hAnsiTheme="minorEastAsia"/>
                <w:sz w:val="24"/>
              </w:rPr>
            </w:pPr>
            <w:r>
              <w:rPr>
                <w:rFonts w:ascii="仿宋_GB2312" w:eastAsia="仿宋_GB2312" w:hAnsiTheme="minorEastAsia"/>
                <w:sz w:val="24"/>
              </w:rPr>
              <w:t>1.</w:t>
            </w:r>
            <w:r>
              <w:rPr>
                <w:rFonts w:hint="eastAsia" w:ascii="仿宋_GB2312" w:eastAsia="仿宋_GB2312" w:hAnsiTheme="minorEastAsia"/>
                <w:sz w:val="24"/>
              </w:rPr>
              <w:t>内部控制机构组成</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rPr>
                <w:rFonts w:ascii="仿宋_GB2312" w:eastAsia="仿宋_GB2312" w:hAnsiTheme="minorEastAsia"/>
                <w:sz w:val="24"/>
              </w:rPr>
            </w:pPr>
            <w:r>
              <w:rPr>
                <w:rFonts w:ascii="仿宋_GB2312" w:eastAsia="仿宋_GB2312" w:hAnsiTheme="minorEastAsia"/>
                <w:sz w:val="24"/>
              </w:rPr>
              <w:t>2.</w:t>
            </w:r>
            <w:r>
              <w:rPr>
                <w:rFonts w:hint="eastAsia" w:ascii="仿宋_GB2312" w:eastAsia="仿宋_GB2312" w:hAnsiTheme="minorEastAsia"/>
                <w:sz w:val="24"/>
              </w:rPr>
              <w:t>内部控制机构运行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rPr>
                <w:rFonts w:ascii="仿宋_GB2312" w:eastAsia="仿宋_GB2312" w:hAnsiTheme="minorEastAsia"/>
                <w:sz w:val="24"/>
              </w:rPr>
            </w:pPr>
            <w:r>
              <w:rPr>
                <w:rFonts w:ascii="仿宋_GB2312" w:eastAsia="仿宋_GB2312" w:hAnsiTheme="minorEastAsia"/>
                <w:sz w:val="24"/>
              </w:rPr>
              <w:t>3.</w:t>
            </w:r>
            <w:r>
              <w:rPr>
                <w:rFonts w:hint="eastAsia" w:ascii="仿宋_GB2312" w:eastAsia="仿宋_GB2312" w:hAnsiTheme="minorEastAsia"/>
                <w:sz w:val="24"/>
              </w:rPr>
              <w:t>权力运行制衡机制建立</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政府会计改革</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预算业务管理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3"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收支业务管理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9"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政府采购业务管理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国有资产业务管理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建设项目业务管理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合同业务管理</w:t>
            </w: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1.</w:t>
            </w:r>
            <w:r>
              <w:rPr>
                <w:rFonts w:hint="eastAsia" w:ascii="仿宋_GB2312" w:hAnsi="宋体" w:eastAsia="仿宋_GB2312"/>
                <w:sz w:val="24"/>
              </w:rPr>
              <w:t>工作职责分离</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2.</w:t>
            </w:r>
            <w:r>
              <w:rPr>
                <w:rFonts w:hint="eastAsia" w:ascii="仿宋_GB2312" w:hAnsi="宋体" w:eastAsia="仿宋_GB2312"/>
                <w:sz w:val="24"/>
              </w:rPr>
              <w:t>定期轮岗</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3.</w:t>
            </w:r>
            <w:r>
              <w:rPr>
                <w:rFonts w:hint="eastAsia" w:ascii="仿宋_GB2312" w:hAnsi="宋体" w:eastAsia="仿宋_GB2312"/>
                <w:sz w:val="24"/>
              </w:rPr>
              <w:t>建立健全内部控制制度</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center"/>
              <w:rPr>
                <w:rFonts w:ascii="仿宋_GB2312" w:eastAsia="仿宋_GB2312"/>
                <w:sz w:val="24"/>
              </w:rPr>
            </w:pPr>
          </w:p>
        </w:tc>
        <w:tc>
          <w:tcPr>
            <w:tcW w:w="3792" w:type="dxa"/>
            <w:gridSpan w:val="6"/>
            <w:vAlign w:val="center"/>
          </w:tcPr>
          <w:p>
            <w:pPr>
              <w:widowControl/>
              <w:jc w:val="left"/>
              <w:rPr>
                <w:rFonts w:ascii="仿宋_GB2312" w:eastAsia="仿宋_GB2312" w:hAnsiTheme="minorEastAsia"/>
                <w:sz w:val="24"/>
              </w:rPr>
            </w:pPr>
            <w:r>
              <w:rPr>
                <w:rFonts w:ascii="仿宋_GB2312" w:hAnsi="宋体" w:eastAsia="仿宋_GB2312"/>
                <w:sz w:val="24"/>
              </w:rPr>
              <w:t>4.</w:t>
            </w:r>
            <w:r>
              <w:rPr>
                <w:rFonts w:hint="eastAsia" w:ascii="仿宋_GB2312" w:hAnsi="宋体" w:eastAsia="仿宋_GB2312"/>
                <w:sz w:val="24"/>
              </w:rPr>
              <w:t>内部控制制度执行</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restart"/>
            <w:vAlign w:val="center"/>
          </w:tcPr>
          <w:p>
            <w:pPr>
              <w:widowControl/>
              <w:jc w:val="center"/>
              <w:rPr>
                <w:rFonts w:ascii="仿宋_GB2312" w:eastAsia="仿宋_GB2312"/>
                <w:sz w:val="24"/>
              </w:rPr>
            </w:pPr>
            <w:r>
              <w:rPr>
                <w:rFonts w:hint="eastAsia" w:ascii="仿宋_GB2312" w:eastAsia="仿宋_GB2312"/>
                <w:sz w:val="24"/>
              </w:rPr>
              <w:t>信息化</w:t>
            </w:r>
          </w:p>
        </w:tc>
        <w:tc>
          <w:tcPr>
            <w:tcW w:w="3792" w:type="dxa"/>
            <w:gridSpan w:val="6"/>
            <w:vAlign w:val="center"/>
          </w:tcPr>
          <w:p>
            <w:pPr>
              <w:widowControl/>
              <w:rPr>
                <w:rFonts w:ascii="仿宋_GB2312" w:eastAsia="仿宋_GB2312" w:hAnsiTheme="minorEastAsia"/>
                <w:sz w:val="24"/>
              </w:rPr>
            </w:pPr>
            <w:r>
              <w:rPr>
                <w:rFonts w:ascii="仿宋_GB2312" w:eastAsia="仿宋_GB2312" w:hAnsiTheme="minorEastAsia"/>
                <w:sz w:val="24"/>
              </w:rPr>
              <w:t>1.</w:t>
            </w:r>
            <w:r>
              <w:rPr>
                <w:rFonts w:hint="eastAsia" w:ascii="仿宋_GB2312" w:eastAsia="仿宋_GB2312" w:hAnsiTheme="minorEastAsia"/>
                <w:sz w:val="24"/>
              </w:rPr>
              <w:t>信息系统覆盖</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3792" w:type="dxa"/>
            <w:gridSpan w:val="3"/>
            <w:vMerge w:val="continue"/>
            <w:vAlign w:val="center"/>
          </w:tcPr>
          <w:p>
            <w:pPr>
              <w:widowControl/>
              <w:jc w:val="left"/>
              <w:rPr>
                <w:rFonts w:ascii="仿宋_GB2312" w:eastAsia="仿宋_GB2312"/>
                <w:sz w:val="24"/>
              </w:rPr>
            </w:pPr>
          </w:p>
        </w:tc>
        <w:tc>
          <w:tcPr>
            <w:tcW w:w="3792" w:type="dxa"/>
            <w:gridSpan w:val="6"/>
            <w:vAlign w:val="center"/>
          </w:tcPr>
          <w:p>
            <w:pPr>
              <w:widowControl/>
              <w:rPr>
                <w:rFonts w:ascii="仿宋_GB2312" w:eastAsia="仿宋_GB2312" w:hAnsiTheme="minorEastAsia"/>
                <w:sz w:val="24"/>
              </w:rPr>
            </w:pPr>
            <w:r>
              <w:rPr>
                <w:rFonts w:ascii="仿宋_GB2312" w:eastAsia="仿宋_GB2312" w:hAnsiTheme="minorEastAsia"/>
                <w:sz w:val="24"/>
              </w:rPr>
              <w:t>2.</w:t>
            </w:r>
            <w:r>
              <w:rPr>
                <w:rFonts w:hint="eastAsia" w:ascii="仿宋_GB2312" w:eastAsia="仿宋_GB2312" w:hAnsiTheme="minorEastAsia"/>
                <w:sz w:val="24"/>
              </w:rPr>
              <w:t>信息系统互联互通</w:t>
            </w:r>
          </w:p>
        </w:tc>
        <w:tc>
          <w:tcPr>
            <w:tcW w:w="3792" w:type="dxa"/>
            <w:gridSpan w:val="4"/>
            <w:vAlign w:val="center"/>
          </w:tcPr>
          <w:p>
            <w:pPr>
              <w:widowControl/>
              <w:jc w:val="center"/>
              <w:rPr>
                <w:rFonts w:ascii="仿宋_GB2312" w:eastAsia="仿宋_GB2312"/>
                <w:sz w:val="24"/>
              </w:rPr>
            </w:pPr>
          </w:p>
        </w:tc>
        <w:tc>
          <w:tcPr>
            <w:tcW w:w="3794" w:type="dxa"/>
            <w:gridSpan w:val="4"/>
            <w:vAlign w:val="center"/>
          </w:tcPr>
          <w:p>
            <w:pPr>
              <w:widowControl/>
              <w:jc w:val="center"/>
              <w:rPr>
                <w:rFonts w:ascii="仿宋_GB2312" w:eastAsia="仿宋_GB2312"/>
                <w:sz w:val="24"/>
              </w:rPr>
            </w:pPr>
          </w:p>
        </w:tc>
      </w:tr>
    </w:tbl>
    <w:p/>
    <w:p>
      <w:pPr>
        <w:jc w:val="center"/>
        <w:rPr>
          <w:rFonts w:ascii="黑体" w:hAnsi="黑体" w:eastAsia="黑体"/>
          <w:sz w:val="32"/>
          <w:szCs w:val="32"/>
        </w:rPr>
      </w:pPr>
    </w:p>
    <w:p>
      <w:pPr>
        <w:jc w:val="left"/>
        <w:rPr>
          <w:rFonts w:ascii="黑体" w:hAnsi="黑体" w:eastAsia="黑体"/>
          <w:sz w:val="32"/>
          <w:szCs w:val="32"/>
        </w:rPr>
        <w:sectPr>
          <w:footerReference r:id="rId3" w:type="default"/>
          <w:footerReference r:id="rId4" w:type="even"/>
          <w:pgSz w:w="16838" w:h="11906" w:orient="landscape"/>
          <w:pgMar w:top="1134" w:right="1440" w:bottom="1134" w:left="1440" w:header="851" w:footer="1361" w:gutter="0"/>
          <w:cols w:space="425" w:num="1"/>
          <w:docGrid w:linePitch="312" w:charSpace="0"/>
        </w:sectPr>
      </w:pPr>
      <w:r>
        <w:rPr>
          <w:rFonts w:hint="eastAsia" w:ascii="黑体" w:hAnsi="黑体" w:eastAsia="黑体"/>
          <w:sz w:val="32"/>
          <w:szCs w:val="32"/>
        </w:rPr>
        <w:br w:type="page"/>
      </w:r>
    </w:p>
    <w:p>
      <w:pPr>
        <w:jc w:val="left"/>
        <w:rPr>
          <w:rFonts w:ascii="黑体" w:hAnsi="黑体" w:eastAsia="黑体"/>
          <w:sz w:val="32"/>
          <w:szCs w:val="32"/>
        </w:rPr>
      </w:pPr>
    </w:p>
    <w:p>
      <w:pPr>
        <w:jc w:val="center"/>
        <w:rPr>
          <w:rFonts w:ascii="方正小标宋简体" w:hAnsi="黑体" w:eastAsia="方正小标宋简体"/>
          <w:sz w:val="32"/>
          <w:szCs w:val="28"/>
        </w:rPr>
      </w:pPr>
      <w:r>
        <w:rPr>
          <w:rFonts w:ascii="方正小标宋简体" w:hAnsi="黑体" w:eastAsia="方正小标宋简体"/>
          <w:sz w:val="36"/>
          <w:szCs w:val="32"/>
        </w:rPr>
        <w:t>2020</w:t>
      </w:r>
      <w:r>
        <w:rPr>
          <w:rFonts w:hint="eastAsia" w:ascii="方正小标宋简体" w:hAnsi="黑体" w:eastAsia="方正小标宋简体"/>
          <w:sz w:val="36"/>
          <w:szCs w:val="32"/>
        </w:rPr>
        <w:t>年度行政事业单位内部控制报告填写说明</w:t>
      </w:r>
    </w:p>
    <w:p>
      <w:pPr>
        <w:tabs>
          <w:tab w:val="left" w:pos="851"/>
        </w:tabs>
        <w:rPr>
          <w:sz w:val="22"/>
          <w:szCs w:val="28"/>
        </w:rPr>
      </w:pPr>
    </w:p>
    <w:p>
      <w:pPr>
        <w:tabs>
          <w:tab w:val="left" w:pos="851"/>
        </w:tabs>
        <w:overflowPunct w:val="0"/>
        <w:spacing w:line="580" w:lineRule="exact"/>
        <w:ind w:firstLine="640" w:firstLineChars="200"/>
        <w:rPr>
          <w:rFonts w:ascii="仿宋_GB2312" w:hAnsi="楷体" w:eastAsia="仿宋_GB2312" w:cs="楷体"/>
          <w:b/>
          <w:bCs/>
          <w:sz w:val="32"/>
          <w:szCs w:val="32"/>
        </w:rPr>
      </w:pPr>
      <w:r>
        <w:rPr>
          <w:rFonts w:hint="eastAsia" w:ascii="仿宋_GB2312" w:hAnsi="楷体" w:eastAsia="仿宋_GB2312" w:cs="楷体"/>
          <w:b/>
          <w:bCs/>
          <w:sz w:val="32"/>
          <w:szCs w:val="32"/>
        </w:rPr>
        <w:t>第一部分</w:t>
      </w:r>
      <w:r>
        <w:rPr>
          <w:rFonts w:ascii="仿宋_GB2312" w:hAnsi="楷体" w:eastAsia="仿宋_GB2312" w:cs="楷体"/>
          <w:b/>
          <w:bCs/>
          <w:sz w:val="32"/>
          <w:szCs w:val="32"/>
        </w:rPr>
        <w:t xml:space="preserve"> </w:t>
      </w:r>
      <w:r>
        <w:rPr>
          <w:rFonts w:hint="eastAsia" w:ascii="仿宋_GB2312" w:hAnsi="楷体" w:eastAsia="仿宋_GB2312" w:cs="楷体"/>
          <w:b/>
          <w:bCs/>
          <w:sz w:val="32"/>
          <w:szCs w:val="32"/>
        </w:rPr>
        <w:t xml:space="preserve"> </w:t>
      </w:r>
      <w:r>
        <w:rPr>
          <w:rFonts w:hint="eastAsia" w:ascii="仿宋_GB2312" w:hAnsi="楷体" w:eastAsia="仿宋_GB2312" w:cs="楷体"/>
          <w:b/>
          <w:bCs/>
          <w:sz w:val="32"/>
          <w:szCs w:val="32"/>
        </w:rPr>
        <w:t>填报总体要求</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此报告由各单位根据本单位内部控制建设情况如实填写。各单位应在</w:t>
      </w:r>
      <w:r>
        <w:rPr>
          <w:rFonts w:ascii="仿宋_GB2312" w:hAnsi="楷体" w:eastAsia="仿宋_GB2312" w:cs="楷体"/>
          <w:sz w:val="32"/>
          <w:szCs w:val="32"/>
        </w:rPr>
        <w:t>2020</w:t>
      </w:r>
      <w:r>
        <w:rPr>
          <w:rFonts w:hint="eastAsia" w:ascii="仿宋_GB2312" w:hAnsi="楷体" w:eastAsia="仿宋_GB2312" w:cs="楷体"/>
          <w:sz w:val="32"/>
          <w:szCs w:val="32"/>
        </w:rPr>
        <w:t>年度行政事业单位内部控制报告系统中填报相关内容，系统自动生成“</w:t>
      </w:r>
      <w:r>
        <w:rPr>
          <w:rFonts w:ascii="仿宋_GB2312" w:hAnsi="楷体" w:eastAsia="仿宋_GB2312" w:cs="楷体"/>
          <w:sz w:val="32"/>
          <w:szCs w:val="32"/>
        </w:rPr>
        <w:t>2020</w:t>
      </w:r>
      <w:r>
        <w:rPr>
          <w:rFonts w:hint="eastAsia" w:ascii="仿宋_GB2312" w:hAnsi="楷体" w:eastAsia="仿宋_GB2312" w:cs="楷体"/>
          <w:sz w:val="32"/>
          <w:szCs w:val="32"/>
        </w:rPr>
        <w:t>年行政事业单位内部控制报告”。各单位报送的纸质版内部控制报告仅包括系统自动生成的内部控制报告，附表内容无需报送。</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此报告涉及金额单位为“元”，而非“万元”。</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eastAsia="仿宋_GB2312"/>
          <w:color w:val="000000"/>
          <w:sz w:val="32"/>
          <w:szCs w:val="32"/>
        </w:rPr>
        <w:t>3.</w:t>
      </w:r>
      <w:r>
        <w:rPr>
          <w:rFonts w:hint="eastAsia" w:ascii="仿宋_GB2312" w:eastAsia="仿宋_GB2312"/>
          <w:color w:val="000000"/>
          <w:sz w:val="32"/>
          <w:szCs w:val="32"/>
        </w:rPr>
        <w:t>报告软件运行环境要求为</w:t>
      </w:r>
      <w:r>
        <w:rPr>
          <w:rFonts w:ascii="仿宋_GB2312" w:eastAsia="仿宋_GB2312"/>
          <w:color w:val="000000"/>
          <w:sz w:val="32"/>
          <w:szCs w:val="32"/>
        </w:rPr>
        <w:t>Win7</w:t>
      </w:r>
      <w:r>
        <w:rPr>
          <w:rFonts w:hint="eastAsia" w:ascii="仿宋_GB2312" w:eastAsia="仿宋_GB2312"/>
          <w:color w:val="000000"/>
          <w:sz w:val="32"/>
          <w:szCs w:val="32"/>
        </w:rPr>
        <w:t>以上版本计算机操作系统，</w:t>
      </w:r>
      <w:r>
        <w:rPr>
          <w:rFonts w:ascii="仿宋_GB2312" w:eastAsia="仿宋_GB2312"/>
          <w:color w:val="000000"/>
          <w:sz w:val="32"/>
          <w:szCs w:val="32"/>
        </w:rPr>
        <w:t>1.</w:t>
      </w:r>
      <w:r>
        <w:rPr>
          <w:rFonts w:hint="eastAsia" w:ascii="仿宋_GB2312" w:eastAsia="仿宋_GB2312"/>
          <w:color w:val="000000"/>
          <w:sz w:val="32"/>
          <w:szCs w:val="32"/>
        </w:rPr>
        <w:t>且装有正版</w:t>
      </w:r>
      <w:r>
        <w:rPr>
          <w:rFonts w:ascii="仿宋_GB2312" w:eastAsia="仿宋_GB2312"/>
          <w:color w:val="000000"/>
          <w:sz w:val="32"/>
          <w:szCs w:val="32"/>
        </w:rPr>
        <w:t>office</w:t>
      </w:r>
      <w:r>
        <w:rPr>
          <w:rFonts w:hint="eastAsia" w:ascii="仿宋_GB2312" w:eastAsia="仿宋_GB2312"/>
          <w:color w:val="000000"/>
          <w:sz w:val="32"/>
          <w:szCs w:val="32"/>
        </w:rPr>
        <w:t>或</w:t>
      </w:r>
      <w:r>
        <w:rPr>
          <w:rFonts w:ascii="仿宋_GB2312" w:eastAsia="仿宋_GB2312"/>
          <w:color w:val="000000"/>
          <w:sz w:val="32"/>
          <w:szCs w:val="32"/>
        </w:rPr>
        <w:t>WPS</w:t>
      </w:r>
      <w:r>
        <w:rPr>
          <w:rFonts w:hint="eastAsia" w:ascii="仿宋_GB2312" w:eastAsia="仿宋_GB2312"/>
          <w:color w:val="000000"/>
          <w:sz w:val="32"/>
          <w:szCs w:val="32"/>
        </w:rPr>
        <w:t>，我们为大家提供</w:t>
      </w:r>
      <w:r>
        <w:rPr>
          <w:rFonts w:ascii="仿宋_GB2312" w:eastAsia="仿宋_GB2312"/>
          <w:color w:val="000000"/>
          <w:sz w:val="32"/>
          <w:szCs w:val="32"/>
        </w:rPr>
        <w:t>WPS2012</w:t>
      </w:r>
      <w:r>
        <w:rPr>
          <w:rFonts w:hint="eastAsia" w:ascii="仿宋_GB2312" w:eastAsia="仿宋_GB2312"/>
          <w:color w:val="000000"/>
          <w:sz w:val="32"/>
          <w:szCs w:val="32"/>
        </w:rPr>
        <w:t>版，可在附件下载。如果单位计算机操作系统为</w:t>
      </w:r>
      <w:r>
        <w:rPr>
          <w:rFonts w:ascii="仿宋_GB2312" w:eastAsia="仿宋_GB2312"/>
          <w:color w:val="000000"/>
          <w:sz w:val="32"/>
          <w:szCs w:val="32"/>
        </w:rPr>
        <w:t>WinXP</w:t>
      </w:r>
      <w:r>
        <w:rPr>
          <w:rFonts w:hint="eastAsia" w:ascii="仿宋_GB2312" w:eastAsia="仿宋_GB2312"/>
          <w:color w:val="000000"/>
          <w:sz w:val="32"/>
          <w:szCs w:val="32"/>
        </w:rPr>
        <w:t>等版本，建议升级计算机操作系统；如果单位计算机为国产操作系统，不能安装单机版软件，建议改用</w:t>
      </w:r>
      <w:r>
        <w:rPr>
          <w:rFonts w:ascii="仿宋_GB2312" w:eastAsia="仿宋_GB2312"/>
          <w:color w:val="000000"/>
          <w:sz w:val="32"/>
          <w:szCs w:val="32"/>
        </w:rPr>
        <w:t>Windows</w:t>
      </w:r>
      <w:r>
        <w:rPr>
          <w:rFonts w:hint="eastAsia" w:ascii="仿宋_GB2312" w:eastAsia="仿宋_GB2312"/>
          <w:color w:val="000000"/>
          <w:sz w:val="32"/>
          <w:szCs w:val="32"/>
        </w:rPr>
        <w:t>系统。</w:t>
      </w:r>
    </w:p>
    <w:p>
      <w:pPr>
        <w:tabs>
          <w:tab w:val="left" w:pos="851"/>
        </w:tabs>
        <w:overflowPunct w:val="0"/>
        <w:spacing w:line="580" w:lineRule="exact"/>
        <w:ind w:firstLine="640" w:firstLineChars="200"/>
        <w:rPr>
          <w:rFonts w:ascii="仿宋_GB2312" w:hAnsi="楷体" w:eastAsia="仿宋_GB2312" w:cs="楷体"/>
          <w:b/>
          <w:bCs/>
          <w:sz w:val="32"/>
          <w:szCs w:val="32"/>
        </w:rPr>
      </w:pPr>
      <w:r>
        <w:rPr>
          <w:rFonts w:hint="eastAsia" w:ascii="仿宋_GB2312" w:hAnsi="楷体" w:eastAsia="仿宋_GB2312" w:cs="楷体"/>
          <w:b/>
          <w:bCs/>
          <w:sz w:val="32"/>
          <w:szCs w:val="32"/>
        </w:rPr>
        <w:t>第二部分</w:t>
      </w:r>
      <w:r>
        <w:rPr>
          <w:rFonts w:ascii="仿宋_GB2312" w:hAnsi="楷体" w:eastAsia="仿宋_GB2312" w:cs="楷体"/>
          <w:b/>
          <w:bCs/>
          <w:sz w:val="32"/>
          <w:szCs w:val="32"/>
        </w:rPr>
        <w:t xml:space="preserve"> </w:t>
      </w:r>
      <w:r>
        <w:rPr>
          <w:rFonts w:hint="eastAsia" w:ascii="仿宋_GB2312" w:hAnsi="楷体" w:eastAsia="仿宋_GB2312" w:cs="楷体"/>
          <w:b/>
          <w:bCs/>
          <w:sz w:val="32"/>
          <w:szCs w:val="32"/>
        </w:rPr>
        <w:t xml:space="preserve"> </w:t>
      </w:r>
      <w:r>
        <w:rPr>
          <w:rFonts w:hint="eastAsia" w:ascii="仿宋_GB2312" w:hAnsi="楷体" w:eastAsia="仿宋_GB2312" w:cs="楷体"/>
          <w:b/>
          <w:bCs/>
          <w:sz w:val="32"/>
          <w:szCs w:val="32"/>
        </w:rPr>
        <w:t>封面填报方式</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表内的年、月、日一律用公历和阿拉伯数字表示。</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单位名称：填列单位的全称，</w:t>
      </w:r>
      <w:r>
        <w:rPr>
          <w:rFonts w:hint="eastAsia" w:ascii="仿宋_GB2312" w:hAnsi="楷体" w:eastAsia="仿宋_GB2312" w:cs="楷体"/>
          <w:sz w:val="32"/>
          <w:szCs w:val="32"/>
          <w:u w:val="single"/>
        </w:rPr>
        <w:t>各级主管部门填报本级报告时，应在单位名称后加“（本级）</w:t>
      </w:r>
      <w:r>
        <w:rPr>
          <w:rFonts w:hint="eastAsia" w:ascii="仿宋_GB2312" w:hAnsi="楷体" w:eastAsia="仿宋_GB2312" w:cs="楷体"/>
          <w:sz w:val="32"/>
          <w:szCs w:val="32"/>
        </w:rPr>
        <w:t>”。</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电话号码：填写填表人的联系电话号码。</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报送日期：填写单位负责人审批通过内部控制报告的时间。</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组织机构代码：根据各级技术监督部门核发的机关、团体、事业单位代码证书规定的</w:t>
      </w:r>
      <w:r>
        <w:rPr>
          <w:rFonts w:ascii="仿宋_GB2312" w:hAnsi="楷体" w:eastAsia="仿宋_GB2312" w:cs="楷体"/>
          <w:sz w:val="32"/>
          <w:szCs w:val="32"/>
        </w:rPr>
        <w:t>9</w:t>
      </w:r>
      <w:r>
        <w:rPr>
          <w:rFonts w:hint="eastAsia" w:ascii="仿宋_GB2312" w:hAnsi="楷体" w:eastAsia="仿宋_GB2312" w:cs="楷体"/>
          <w:sz w:val="32"/>
          <w:szCs w:val="32"/>
        </w:rPr>
        <w:t>位码填列；临时代码编制应符合《自编企业、单位临时代码编制规则》。单位如已取得统一社会信用代码，需按统一社会信用代码第</w:t>
      </w:r>
      <w:r>
        <w:rPr>
          <w:rFonts w:ascii="仿宋_GB2312" w:hAnsi="楷体" w:eastAsia="仿宋_GB2312" w:cs="楷体"/>
          <w:sz w:val="32"/>
          <w:szCs w:val="32"/>
        </w:rPr>
        <w:t>9</w:t>
      </w:r>
      <w:r>
        <w:rPr>
          <w:rFonts w:hint="eastAsia" w:ascii="仿宋_GB2312" w:hAnsi="楷体" w:eastAsia="仿宋_GB2312" w:cs="楷体"/>
          <w:sz w:val="32"/>
          <w:szCs w:val="32"/>
        </w:rPr>
        <w:t>－</w:t>
      </w:r>
      <w:r>
        <w:rPr>
          <w:rFonts w:ascii="仿宋_GB2312" w:hAnsi="楷体" w:eastAsia="仿宋_GB2312" w:cs="楷体"/>
          <w:sz w:val="32"/>
          <w:szCs w:val="32"/>
        </w:rPr>
        <w:t>17</w:t>
      </w:r>
      <w:r>
        <w:rPr>
          <w:rFonts w:hint="eastAsia" w:ascii="仿宋_GB2312" w:hAnsi="楷体" w:eastAsia="仿宋_GB2312" w:cs="楷体"/>
          <w:sz w:val="32"/>
          <w:szCs w:val="32"/>
        </w:rPr>
        <w:t>位信息填列本代码。</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6.</w:t>
      </w:r>
      <w:r>
        <w:rPr>
          <w:rFonts w:hint="eastAsia" w:ascii="仿宋_GB2312" w:hAnsi="楷体" w:eastAsia="仿宋_GB2312" w:cs="楷体"/>
          <w:sz w:val="32"/>
          <w:szCs w:val="32"/>
        </w:rPr>
        <w:t>隶属关系：以</w:t>
      </w:r>
      <w:r>
        <w:rPr>
          <w:rFonts w:ascii="仿宋_GB2312" w:hAnsi="楷体" w:eastAsia="仿宋_GB2312" w:cs="楷体"/>
          <w:sz w:val="32"/>
          <w:szCs w:val="32"/>
        </w:rPr>
        <w:t>6</w:t>
      </w:r>
      <w:r>
        <w:rPr>
          <w:rFonts w:hint="eastAsia" w:ascii="仿宋_GB2312" w:hAnsi="楷体" w:eastAsia="仿宋_GB2312" w:cs="楷体"/>
          <w:sz w:val="32"/>
          <w:szCs w:val="32"/>
        </w:rPr>
        <w:t>位代码表示。单位根据国家标准《中华人民共和国行政区划代码》（</w:t>
      </w:r>
      <w:r>
        <w:rPr>
          <w:rFonts w:ascii="仿宋_GB2312" w:hAnsi="楷体" w:eastAsia="仿宋_GB2312" w:cs="楷体"/>
          <w:sz w:val="32"/>
          <w:szCs w:val="32"/>
        </w:rPr>
        <w:t>GB/T 2260</w:t>
      </w:r>
      <w:r>
        <w:rPr>
          <w:rFonts w:hint="eastAsia" w:ascii="仿宋_GB2312" w:hAnsi="楷体" w:eastAsia="仿宋_GB2312" w:cs="楷体"/>
          <w:sz w:val="32"/>
          <w:szCs w:val="32"/>
        </w:rPr>
        <w:t>－</w:t>
      </w:r>
      <w:r>
        <w:rPr>
          <w:rFonts w:ascii="仿宋_GB2312" w:hAnsi="楷体" w:eastAsia="仿宋_GB2312" w:cs="楷体"/>
          <w:sz w:val="32"/>
          <w:szCs w:val="32"/>
        </w:rPr>
        <w:t>2007</w:t>
      </w:r>
      <w:r>
        <w:rPr>
          <w:rFonts w:hint="eastAsia" w:ascii="仿宋_GB2312" w:hAnsi="楷体" w:eastAsia="仿宋_GB2312" w:cs="楷体"/>
          <w:sz w:val="32"/>
          <w:szCs w:val="32"/>
        </w:rPr>
        <w:t>）编制。具体编制方法：省级单位以行政区划代码的前两位数字后加</w:t>
      </w:r>
      <w:r>
        <w:rPr>
          <w:rFonts w:ascii="仿宋_GB2312" w:hAnsi="楷体" w:eastAsia="仿宋_GB2312" w:cs="楷体"/>
          <w:sz w:val="32"/>
          <w:szCs w:val="32"/>
        </w:rPr>
        <w:t>4</w:t>
      </w:r>
      <w:r>
        <w:rPr>
          <w:rFonts w:hint="eastAsia" w:ascii="仿宋_GB2312" w:hAnsi="楷体" w:eastAsia="仿宋_GB2312" w:cs="楷体"/>
          <w:sz w:val="32"/>
          <w:szCs w:val="32"/>
        </w:rPr>
        <w:t>个零表示，如山东省省属单位一律填“</w:t>
      </w:r>
      <w:r>
        <w:rPr>
          <w:rFonts w:ascii="仿宋_GB2312" w:hAnsi="楷体" w:eastAsia="仿宋_GB2312" w:cs="楷体"/>
          <w:sz w:val="32"/>
          <w:szCs w:val="32"/>
        </w:rPr>
        <w:t>370000</w:t>
      </w:r>
      <w:r>
        <w:rPr>
          <w:rFonts w:hint="eastAsia" w:ascii="仿宋_GB2312" w:hAnsi="楷体" w:eastAsia="仿宋_GB2312" w:cs="楷体"/>
          <w:sz w:val="32"/>
          <w:szCs w:val="32"/>
        </w:rPr>
        <w:t>”；地市级单位以行政区划代码的前四位数字后加</w:t>
      </w:r>
      <w:r>
        <w:rPr>
          <w:rFonts w:ascii="仿宋_GB2312" w:hAnsi="楷体" w:eastAsia="仿宋_GB2312" w:cs="楷体"/>
          <w:sz w:val="32"/>
          <w:szCs w:val="32"/>
        </w:rPr>
        <w:t>2</w:t>
      </w:r>
      <w:r>
        <w:rPr>
          <w:rFonts w:hint="eastAsia" w:ascii="仿宋_GB2312" w:hAnsi="楷体" w:eastAsia="仿宋_GB2312" w:cs="楷体"/>
          <w:sz w:val="32"/>
          <w:szCs w:val="32"/>
        </w:rPr>
        <w:t>个零表示，如山东省济南市市属单位一律填列“</w:t>
      </w:r>
      <w:r>
        <w:rPr>
          <w:rFonts w:ascii="仿宋_GB2312" w:hAnsi="楷体" w:eastAsia="仿宋_GB2312" w:cs="楷体"/>
          <w:sz w:val="32"/>
          <w:szCs w:val="32"/>
        </w:rPr>
        <w:t>370100</w:t>
      </w:r>
      <w:r>
        <w:rPr>
          <w:rFonts w:hint="eastAsia" w:ascii="仿宋_GB2312" w:hAnsi="楷体" w:eastAsia="仿宋_GB2312" w:cs="楷体"/>
          <w:sz w:val="32"/>
          <w:szCs w:val="32"/>
        </w:rPr>
        <w:t>”；县级（含乡镇）所属单位以行政区划代码的本身</w:t>
      </w:r>
      <w:r>
        <w:rPr>
          <w:rFonts w:ascii="仿宋_GB2312" w:hAnsi="楷体" w:eastAsia="仿宋_GB2312" w:cs="楷体"/>
          <w:sz w:val="32"/>
          <w:szCs w:val="32"/>
        </w:rPr>
        <w:t>6</w:t>
      </w:r>
      <w:r>
        <w:rPr>
          <w:rFonts w:hint="eastAsia" w:ascii="仿宋_GB2312" w:hAnsi="楷体" w:eastAsia="仿宋_GB2312" w:cs="楷体"/>
          <w:sz w:val="32"/>
          <w:szCs w:val="32"/>
        </w:rPr>
        <w:t>位数表示，如山东省济南市平阴县县级及乡镇级单位一律填列“</w:t>
      </w:r>
      <w:r>
        <w:rPr>
          <w:rFonts w:ascii="仿宋_GB2312" w:hAnsi="楷体" w:eastAsia="仿宋_GB2312" w:cs="楷体"/>
          <w:sz w:val="32"/>
          <w:szCs w:val="32"/>
        </w:rPr>
        <w:t>370124</w:t>
      </w:r>
      <w:r>
        <w:rPr>
          <w:rFonts w:hint="eastAsia" w:ascii="仿宋_GB2312" w:hAnsi="楷体" w:eastAsia="仿宋_GB2312" w:cs="楷体"/>
          <w:sz w:val="32"/>
          <w:szCs w:val="32"/>
        </w:rPr>
        <w:t>”。</w:t>
      </w:r>
    </w:p>
    <w:p>
      <w:pPr>
        <w:pStyle w:val="21"/>
        <w:tabs>
          <w:tab w:val="left" w:pos="851"/>
        </w:tabs>
        <w:overflowPunct w:val="0"/>
        <w:spacing w:line="580" w:lineRule="exact"/>
        <w:ind w:firstLine="640"/>
        <w:rPr>
          <w:rFonts w:ascii="仿宋_GB2312" w:hAnsi="楷体" w:eastAsia="仿宋_GB2312" w:cs="楷体"/>
          <w:sz w:val="32"/>
          <w:szCs w:val="32"/>
          <w:u w:val="single"/>
        </w:rPr>
      </w:pPr>
      <w:r>
        <w:rPr>
          <w:rFonts w:hint="eastAsia" w:ascii="仿宋_GB2312" w:hAnsi="楷体" w:eastAsia="仿宋_GB2312" w:cs="楷体"/>
          <w:sz w:val="32"/>
          <w:szCs w:val="32"/>
          <w:u w:val="single"/>
        </w:rPr>
        <w:t>若新成立开发区，没有列入国家承认的正式行政区划，原则上按照原行政区划填列，应与决算报表口径一致。</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7.</w:t>
      </w:r>
      <w:r>
        <w:rPr>
          <w:rFonts w:hint="eastAsia" w:ascii="仿宋_GB2312" w:hAnsi="楷体" w:eastAsia="仿宋_GB2312" w:cs="楷体"/>
          <w:sz w:val="32"/>
          <w:szCs w:val="32"/>
        </w:rPr>
        <w:t>单位预算级次：填列部门和单位按照预算管理权限和经费领拨关系所确定的预算级次，与部门决算封面上预算级次一致。非预算单位此项填报“无”。</w:t>
      </w:r>
    </w:p>
    <w:p>
      <w:pPr>
        <w:tabs>
          <w:tab w:val="left" w:pos="851"/>
        </w:tabs>
        <w:overflowPunct w:val="0"/>
        <w:spacing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向同级财政部门编报预算并审核批复下一级预算单位预算，或向同级财政部门领报经费并对下一级预算单位核拨经费的单位（含没有下级预算单位），为一级预算单位，代码填“</w:t>
      </w:r>
      <w:r>
        <w:rPr>
          <w:rFonts w:ascii="仿宋_GB2312" w:hAnsi="楷体" w:eastAsia="仿宋_GB2312" w:cs="楷体"/>
          <w:sz w:val="32"/>
          <w:szCs w:val="32"/>
        </w:rPr>
        <w:t>1</w:t>
      </w:r>
      <w:r>
        <w:rPr>
          <w:rFonts w:hint="eastAsia" w:ascii="仿宋_GB2312" w:hAnsi="楷体" w:eastAsia="仿宋_GB2312" w:cs="楷体"/>
          <w:sz w:val="32"/>
          <w:szCs w:val="32"/>
        </w:rPr>
        <w:t>”。向上一级预算单位编报预算并审核批复下一级预算单位预算，或向上一级预算单位领报经费并对下一级预算单位核拨经费的单位（含没有下级预算单位），按预算级次在“</w:t>
      </w:r>
      <w:r>
        <w:rPr>
          <w:rFonts w:ascii="仿宋_GB2312" w:hAnsi="楷体" w:eastAsia="仿宋_GB2312" w:cs="楷体"/>
          <w:sz w:val="32"/>
          <w:szCs w:val="32"/>
        </w:rPr>
        <w:t>2</w:t>
      </w:r>
      <w:r>
        <w:rPr>
          <w:rFonts w:hint="eastAsia" w:ascii="仿宋_GB2312" w:hAnsi="楷体" w:eastAsia="仿宋_GB2312" w:cs="楷体"/>
          <w:sz w:val="32"/>
          <w:szCs w:val="32"/>
        </w:rPr>
        <w:t>”至“</w:t>
      </w:r>
      <w:r>
        <w:rPr>
          <w:rFonts w:ascii="仿宋_GB2312" w:hAnsi="楷体" w:eastAsia="仿宋_GB2312" w:cs="楷体"/>
          <w:sz w:val="32"/>
          <w:szCs w:val="32"/>
        </w:rPr>
        <w:t>7</w:t>
      </w:r>
      <w:r>
        <w:rPr>
          <w:rFonts w:hint="eastAsia" w:ascii="仿宋_GB2312" w:hAnsi="楷体" w:eastAsia="仿宋_GB2312" w:cs="楷体"/>
          <w:sz w:val="32"/>
          <w:szCs w:val="32"/>
        </w:rPr>
        <w:t>”间选择填列。一级预算单位有下一级预算单位的，其本级代码填“</w:t>
      </w:r>
      <w:r>
        <w:rPr>
          <w:rFonts w:ascii="仿宋_GB2312" w:hAnsi="楷体" w:eastAsia="仿宋_GB2312" w:cs="楷体"/>
          <w:sz w:val="32"/>
          <w:szCs w:val="32"/>
        </w:rPr>
        <w:t>2</w:t>
      </w:r>
      <w:r>
        <w:rPr>
          <w:rFonts w:hint="eastAsia" w:ascii="仿宋_GB2312" w:hAnsi="楷体" w:eastAsia="仿宋_GB2312" w:cs="楷体"/>
          <w:sz w:val="32"/>
          <w:szCs w:val="32"/>
        </w:rPr>
        <w:t>”；没有下一级预算单位的，代码填“</w:t>
      </w:r>
      <w:r>
        <w:rPr>
          <w:rFonts w:ascii="仿宋_GB2312" w:hAnsi="楷体" w:eastAsia="仿宋_GB2312" w:cs="楷体"/>
          <w:sz w:val="32"/>
          <w:szCs w:val="32"/>
        </w:rPr>
        <w:t>1</w:t>
      </w:r>
      <w:r>
        <w:rPr>
          <w:rFonts w:hint="eastAsia" w:ascii="仿宋_GB2312" w:hAnsi="楷体" w:eastAsia="仿宋_GB2312" w:cs="楷体"/>
          <w:sz w:val="32"/>
          <w:szCs w:val="32"/>
        </w:rPr>
        <w:t>”，以此类推。</w:t>
      </w:r>
    </w:p>
    <w:p>
      <w:pPr>
        <w:tabs>
          <w:tab w:val="left" w:pos="851"/>
        </w:tabs>
        <w:overflowPunct w:val="0"/>
        <w:spacing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u w:val="single"/>
        </w:rPr>
        <w:t>各级政府财政部门汇总本级预算单位或者下级财政报送内部控制报告时，代码填“</w:t>
      </w:r>
      <w:r>
        <w:rPr>
          <w:rFonts w:ascii="仿宋_GB2312" w:hAnsi="楷体" w:eastAsia="仿宋_GB2312" w:cs="楷体"/>
          <w:sz w:val="32"/>
          <w:szCs w:val="32"/>
          <w:u w:val="single"/>
        </w:rPr>
        <w:t>0</w:t>
      </w:r>
      <w:r>
        <w:rPr>
          <w:rFonts w:hint="eastAsia" w:ascii="仿宋_GB2312" w:hAnsi="楷体" w:eastAsia="仿宋_GB2312" w:cs="楷体"/>
          <w:sz w:val="32"/>
          <w:szCs w:val="32"/>
          <w:u w:val="single"/>
        </w:rPr>
        <w:t>”（财政汇总）</w:t>
      </w:r>
      <w:r>
        <w:rPr>
          <w:rFonts w:hint="eastAsia" w:ascii="仿宋_GB2312" w:hAnsi="楷体" w:eastAsia="仿宋_GB2312" w:cs="楷体"/>
          <w:sz w:val="32"/>
          <w:szCs w:val="32"/>
        </w:rPr>
        <w:t>；部门和单位不得填列“</w:t>
      </w:r>
      <w:r>
        <w:rPr>
          <w:rFonts w:ascii="仿宋_GB2312" w:hAnsi="楷体" w:eastAsia="仿宋_GB2312" w:cs="楷体"/>
          <w:sz w:val="32"/>
          <w:szCs w:val="32"/>
        </w:rPr>
        <w:t>0</w:t>
      </w:r>
      <w:r>
        <w:rPr>
          <w:rFonts w:hint="eastAsia" w:ascii="仿宋_GB2312" w:hAnsi="楷体" w:eastAsia="仿宋_GB2312" w:cs="楷体"/>
          <w:sz w:val="32"/>
          <w:szCs w:val="32"/>
        </w:rPr>
        <w:t>”。</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8.</w:t>
      </w:r>
      <w:r>
        <w:rPr>
          <w:rFonts w:hint="eastAsia" w:ascii="仿宋_GB2312" w:hAnsi="楷体" w:eastAsia="仿宋_GB2312" w:cs="楷体"/>
          <w:sz w:val="32"/>
          <w:szCs w:val="32"/>
        </w:rPr>
        <w:t>单位财政预算代码：中央一级预算单位按财政部编制的三位代码填列，二级预算单位为六位代码，前三位填列其一级预算单位编码，后三位由一级预算单位从</w:t>
      </w:r>
      <w:r>
        <w:rPr>
          <w:rFonts w:ascii="仿宋_GB2312" w:hAnsi="楷体" w:eastAsia="仿宋_GB2312" w:cs="楷体"/>
          <w:sz w:val="32"/>
          <w:szCs w:val="32"/>
        </w:rPr>
        <w:t>001</w:t>
      </w:r>
      <w:r>
        <w:rPr>
          <w:rFonts w:hint="eastAsia" w:ascii="仿宋_GB2312" w:hAnsi="楷体" w:eastAsia="仿宋_GB2312" w:cs="楷体"/>
          <w:sz w:val="32"/>
          <w:szCs w:val="32"/>
        </w:rPr>
        <w:t>－</w:t>
      </w:r>
      <w:r>
        <w:rPr>
          <w:rFonts w:ascii="仿宋_GB2312" w:hAnsi="楷体" w:eastAsia="仿宋_GB2312" w:cs="楷体"/>
          <w:sz w:val="32"/>
          <w:szCs w:val="32"/>
        </w:rPr>
        <w:t>799</w:t>
      </w:r>
      <w:r>
        <w:rPr>
          <w:rFonts w:hint="eastAsia" w:ascii="仿宋_GB2312" w:hAnsi="楷体" w:eastAsia="仿宋_GB2312" w:cs="楷体"/>
          <w:sz w:val="32"/>
          <w:szCs w:val="32"/>
        </w:rPr>
        <w:t>依次自行编制，三级及以下预算单位以此类推。地方单位的财政预算代码应与部门预算代码一致。非预算单位此项不需填报。</w:t>
      </w:r>
    </w:p>
    <w:p>
      <w:pPr>
        <w:tabs>
          <w:tab w:val="left" w:pos="851"/>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9.</w:t>
      </w:r>
      <w:r>
        <w:rPr>
          <w:rFonts w:hint="eastAsia" w:ascii="仿宋_GB2312" w:hAnsi="楷体" w:eastAsia="仿宋_GB2312" w:cs="楷体"/>
          <w:sz w:val="32"/>
          <w:szCs w:val="32"/>
        </w:rPr>
        <w:t>单位基本性质：依据政府编制管理部门确定的单位及经费性质，在“行政单位”“参照公务员法管理事业单位”“财政补助事业单位”“经费自理事业单位”和“其他单位”五种类型中选择填列。财政部门或主管部门叠加汇总所属单位内部控制报告时不填列本项。</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10.</w:t>
      </w:r>
      <w:r>
        <w:rPr>
          <w:rFonts w:hint="eastAsia" w:ascii="仿宋_GB2312" w:hAnsi="楷体" w:eastAsia="仿宋_GB2312" w:cs="楷体"/>
          <w:sz w:val="32"/>
          <w:szCs w:val="32"/>
        </w:rPr>
        <w:t>预算管理级次：按单位预算分级管理的级次选择填列。单位向非本级财政部门报送内部控制报告时，应按拨款财政部门的预算管理级次填列。非预算单位填报“</w:t>
      </w:r>
      <w:r>
        <w:rPr>
          <w:rFonts w:ascii="仿宋_GB2312" w:hAnsi="楷体" w:eastAsia="仿宋_GB2312" w:cs="楷体"/>
          <w:sz w:val="32"/>
          <w:szCs w:val="32"/>
        </w:rPr>
        <w:t>90.</w:t>
      </w:r>
      <w:r>
        <w:rPr>
          <w:rFonts w:hint="eastAsia" w:ascii="仿宋_GB2312" w:hAnsi="楷体" w:eastAsia="仿宋_GB2312" w:cs="楷体"/>
          <w:sz w:val="32"/>
          <w:szCs w:val="32"/>
        </w:rPr>
        <w:t>非预算单位”。</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11.</w:t>
      </w:r>
      <w:r>
        <w:rPr>
          <w:rFonts w:hint="eastAsia" w:ascii="仿宋_GB2312" w:hAnsi="楷体" w:eastAsia="仿宋_GB2312" w:cs="楷体"/>
          <w:sz w:val="32"/>
          <w:szCs w:val="32"/>
        </w:rPr>
        <w:t>支出功能分类：填列部门决算《支出决算表》（财决</w:t>
      </w:r>
      <w:r>
        <w:rPr>
          <w:rFonts w:ascii="仿宋_GB2312" w:hAnsi="楷体" w:eastAsia="仿宋_GB2312" w:cs="楷体"/>
          <w:sz w:val="32"/>
          <w:szCs w:val="32"/>
        </w:rPr>
        <w:t>04</w:t>
      </w:r>
      <w:r>
        <w:rPr>
          <w:rFonts w:hint="eastAsia" w:ascii="仿宋_GB2312" w:hAnsi="楷体" w:eastAsia="仿宋_GB2312" w:cs="楷体"/>
          <w:sz w:val="32"/>
          <w:szCs w:val="32"/>
        </w:rPr>
        <w:t>表）中涉及金额最多的支出功能分类科目。</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12.</w:t>
      </w:r>
      <w:r>
        <w:rPr>
          <w:rFonts w:hint="eastAsia" w:ascii="仿宋_GB2312" w:hAnsi="楷体" w:eastAsia="仿宋_GB2312" w:cs="楷体"/>
          <w:sz w:val="32"/>
          <w:szCs w:val="32"/>
        </w:rPr>
        <w:t>年末在职人数：填列在政府编制管理部门核定的编制内、由单位人事部门管理的实有年末在职人数，与部门决算《基本数字表》（财决附</w:t>
      </w:r>
      <w:r>
        <w:rPr>
          <w:rFonts w:ascii="仿宋_GB2312" w:hAnsi="楷体" w:eastAsia="仿宋_GB2312" w:cs="楷体"/>
          <w:sz w:val="32"/>
          <w:szCs w:val="32"/>
        </w:rPr>
        <w:t>02</w:t>
      </w:r>
      <w:r>
        <w:rPr>
          <w:rFonts w:hint="eastAsia" w:ascii="仿宋_GB2312" w:hAnsi="楷体" w:eastAsia="仿宋_GB2312" w:cs="楷体"/>
          <w:sz w:val="32"/>
          <w:szCs w:val="32"/>
        </w:rPr>
        <w:t>表）第</w:t>
      </w:r>
      <w:r>
        <w:rPr>
          <w:rFonts w:ascii="仿宋_GB2312" w:hAnsi="楷体" w:eastAsia="仿宋_GB2312" w:cs="楷体"/>
          <w:sz w:val="32"/>
          <w:szCs w:val="32"/>
        </w:rPr>
        <w:t>4</w:t>
      </w:r>
      <w:r>
        <w:rPr>
          <w:rFonts w:hint="eastAsia" w:ascii="仿宋_GB2312" w:hAnsi="楷体" w:eastAsia="仿宋_GB2312" w:cs="楷体"/>
          <w:sz w:val="32"/>
          <w:szCs w:val="32"/>
        </w:rPr>
        <w:t>栏合计数一致，即“年末职工人数”中“人员总计”的“在职人员”合计数。</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第三部分</w:t>
      </w:r>
      <w:r>
        <w:rPr>
          <w:rFonts w:hint="eastAsia" w:ascii="仿宋_GB2312" w:hAnsi="楷体" w:eastAsia="仿宋_GB2312" w:cs="楷体"/>
          <w:b/>
          <w:bCs/>
          <w:sz w:val="32"/>
          <w:szCs w:val="32"/>
        </w:rPr>
        <w:t xml:space="preserve"> </w:t>
      </w:r>
      <w:r>
        <w:rPr>
          <w:rFonts w:ascii="仿宋_GB2312" w:hAnsi="楷体" w:eastAsia="仿宋_GB2312" w:cs="楷体"/>
          <w:b/>
          <w:bCs/>
          <w:sz w:val="32"/>
          <w:szCs w:val="32"/>
        </w:rPr>
        <w:t xml:space="preserve"> 2020</w:t>
      </w:r>
      <w:r>
        <w:rPr>
          <w:rFonts w:hint="eastAsia" w:ascii="仿宋_GB2312" w:hAnsi="楷体" w:eastAsia="仿宋_GB2312" w:cs="楷体"/>
          <w:b/>
          <w:bCs/>
          <w:sz w:val="32"/>
          <w:szCs w:val="32"/>
        </w:rPr>
        <w:t>年度行政事业单位内部控制报告填报方式</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一、单位层面内部控制情况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（一）内部控制机构组成情况</w:t>
      </w:r>
    </w:p>
    <w:p>
      <w:pPr>
        <w:tabs>
          <w:tab w:val="left" w:pos="993"/>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单位</w:t>
      </w:r>
      <w:r>
        <w:rPr>
          <w:rFonts w:hint="eastAsia" w:ascii="仿宋_GB2312" w:hAnsi="楷体" w:eastAsia="仿宋_GB2312" w:cs="楷体"/>
          <w:color w:val="000000" w:themeColor="text1"/>
          <w:sz w:val="32"/>
          <w:szCs w:val="32"/>
        </w:rPr>
        <w:t>内部控制领导小组</w:t>
      </w:r>
      <w:r>
        <w:rPr>
          <w:rFonts w:hint="eastAsia" w:ascii="仿宋_GB2312" w:hAnsi="楷体" w:eastAsia="仿宋_GB2312" w:cs="楷体"/>
          <w:sz w:val="32"/>
          <w:szCs w:val="32"/>
        </w:rPr>
        <w:t>：根据单位关于成立内部控制领导小组的制度文件勾选。注：即使与上级主管单位共用一套内部控制领导小组，下级单位也应成立本单位的内部控制领导小组，若未成立，则选择“否”。</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单位内部控制领导小组负责人：根据单位关于成立内部控制领导小组的制度文件勾选（其中“单位负责人”是指单位党组织负责同志或行政负责人），并填写组长姓名及岗位。</w:t>
      </w:r>
    </w:p>
    <w:p>
      <w:pPr>
        <w:tabs>
          <w:tab w:val="left" w:pos="993"/>
        </w:tabs>
        <w:overflowPunct w:val="0"/>
        <w:spacing w:line="580" w:lineRule="exact"/>
        <w:ind w:firstLine="640" w:firstLineChars="20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单位</w:t>
      </w:r>
      <w:r>
        <w:rPr>
          <w:rFonts w:hint="eastAsia" w:ascii="仿宋_GB2312" w:hAnsi="楷体" w:eastAsia="仿宋_GB2312" w:cs="楷体"/>
          <w:color w:val="000000" w:themeColor="text1"/>
          <w:sz w:val="32"/>
          <w:szCs w:val="32"/>
        </w:rPr>
        <w:t>内部控制工作小组</w:t>
      </w:r>
      <w:r>
        <w:rPr>
          <w:rFonts w:hint="eastAsia" w:ascii="仿宋_GB2312" w:hAnsi="楷体" w:eastAsia="仿宋_GB2312" w:cs="楷体"/>
          <w:sz w:val="32"/>
          <w:szCs w:val="32"/>
        </w:rPr>
        <w:t>：根据单位关于成立内部控制工作小组的制度文件勾选。注：即使与上级主管单位共用一套内部控制工作小组，下级单位也应成立本单位的内部控制工作小组，若未成立，则选择“否”。</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单位内部控制工作小组负责人：根据单位关于成立内部控制工作小组的制度文件勾选</w:t>
      </w:r>
      <w:r>
        <w:rPr>
          <w:rFonts w:ascii="仿宋_GB2312" w:hAnsi="楷体" w:eastAsia="仿宋_GB2312" w:cs="楷体"/>
          <w:sz w:val="32"/>
          <w:szCs w:val="32"/>
        </w:rPr>
        <w:t>,</w:t>
      </w:r>
      <w:r>
        <w:rPr>
          <w:rFonts w:hint="eastAsia" w:ascii="仿宋_GB2312" w:hAnsi="楷体" w:eastAsia="仿宋_GB2312" w:cs="楷体"/>
          <w:sz w:val="32"/>
          <w:szCs w:val="32"/>
        </w:rPr>
        <w:t>并填写负责人姓名及岗位。</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内部控制建设牵头部门：根据单位关于确定内部控制建设牵头部门的制度文件勾选。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6.</w:t>
      </w:r>
      <w:r>
        <w:rPr>
          <w:rFonts w:hint="eastAsia" w:ascii="仿宋_GB2312" w:hAnsi="楷体" w:eastAsia="仿宋_GB2312" w:cs="楷体"/>
          <w:sz w:val="32"/>
          <w:szCs w:val="32"/>
        </w:rPr>
        <w:t>内部控制评价与监督部门：根据单位关于内部控制评价与监督的制度文件勾选。若多部门参与评价与监督，仅勾选最主要部门。</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（二）内部控制机构运行情况</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本年单位内部控制领导小组会议次数：根据本年单位内部控制领导小组会议纪要填写次数。需上传内部控制领导小组会议纪要作为佐证材料。会议纪要应当作脱敏脱密处理，仅保留与内部控制工作相关的内容。</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本年单位开展内部控制专题培训次数：根据本年单位内部控制实际培训情况填写次数。</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本年单位内部控制风险评估覆盖情况（单位层面）：</w:t>
      </w:r>
      <w:r>
        <w:rPr>
          <w:rFonts w:hint="eastAsia" w:ascii="仿宋_GB2312" w:hAnsi="楷体" w:eastAsia="仿宋_GB2312" w:cs="楷体"/>
          <w:sz w:val="32"/>
          <w:szCs w:val="32"/>
          <w:u w:val="single"/>
        </w:rPr>
        <w:t>根据本年单位组织开展风险评估工作以及出具的风险评估报告或其他文件，逐项勾选已进行单位层面内部控制风险评估的方面。需上传风险评估报告材料作为佐证材料。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本年单位内部控制风险评估覆盖情况（业务层面）：根据本年单位组织开展风险评估工作以及出具的风险评估报告或其他文件，逐项勾选已进行业务层面内部控制风险评估的方面。需上传风险评估报告材料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本年单位是否开展内部控制评价：内部控制评价是指单位自行或者委托第三方对单位内部控制体系建立与实施情况进行检查，并出具评价报告（或同等作用的检查报告）。需上传内部控制评价方案、内部控制评价报告（或检查报告）和内部控制整改方案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6.</w:t>
      </w:r>
      <w:r>
        <w:rPr>
          <w:rFonts w:hint="eastAsia" w:ascii="仿宋_GB2312" w:hAnsi="楷体" w:eastAsia="仿宋_GB2312" w:cs="楷体"/>
          <w:sz w:val="32"/>
          <w:szCs w:val="32"/>
        </w:rPr>
        <w:t>本年单位内部控制评价结果应用领域：（</w:t>
      </w:r>
      <w:r>
        <w:rPr>
          <w:rFonts w:ascii="仿宋_GB2312" w:hAnsi="楷体" w:eastAsia="仿宋_GB2312" w:cs="楷体"/>
          <w:sz w:val="32"/>
          <w:szCs w:val="32"/>
        </w:rPr>
        <w:t>1</w:t>
      </w:r>
      <w:r>
        <w:rPr>
          <w:rFonts w:hint="eastAsia" w:ascii="仿宋_GB2312" w:hAnsi="楷体" w:eastAsia="仿宋_GB2312" w:cs="楷体"/>
          <w:sz w:val="32"/>
          <w:szCs w:val="32"/>
        </w:rPr>
        <w:t>）“作为完善内部管理制度的依据”指单位根据内部控制评价发现的问题，及时更新内部管理制度。（</w:t>
      </w:r>
      <w:r>
        <w:rPr>
          <w:rFonts w:ascii="仿宋_GB2312" w:hAnsi="楷体" w:eastAsia="仿宋_GB2312" w:cs="楷体"/>
          <w:sz w:val="32"/>
          <w:szCs w:val="32"/>
        </w:rPr>
        <w:t>2</w:t>
      </w:r>
      <w:r>
        <w:rPr>
          <w:rFonts w:hint="eastAsia" w:ascii="仿宋_GB2312" w:hAnsi="楷体" w:eastAsia="仿宋_GB2312" w:cs="楷体"/>
          <w:sz w:val="32"/>
          <w:szCs w:val="32"/>
        </w:rPr>
        <w:t>）“作为监督问责的重要参考依据”是指单位将内部控制评价发现的问题落实到各责任主体，并把评价结果作为监督问责的重要参考依据。（</w:t>
      </w:r>
      <w:r>
        <w:rPr>
          <w:rFonts w:ascii="仿宋_GB2312" w:hAnsi="楷体" w:eastAsia="仿宋_GB2312" w:cs="楷体"/>
          <w:sz w:val="32"/>
          <w:szCs w:val="32"/>
        </w:rPr>
        <w:t>3</w:t>
      </w:r>
      <w:r>
        <w:rPr>
          <w:rFonts w:hint="eastAsia" w:ascii="仿宋_GB2312" w:hAnsi="楷体" w:eastAsia="仿宋_GB2312" w:cs="楷体"/>
          <w:sz w:val="32"/>
          <w:szCs w:val="32"/>
        </w:rPr>
        <w:t>）“作为领导干部选拔任用的重要参考”是指单位将内部控制评价发现的问题落实到各责任主体，并把评价结果作为领导干部选拔任用的重要指标。</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7.</w:t>
      </w:r>
      <w:r>
        <w:rPr>
          <w:rFonts w:hint="eastAsia" w:ascii="仿宋_GB2312" w:hAnsi="楷体" w:eastAsia="仿宋_GB2312" w:cs="楷体"/>
          <w:sz w:val="32"/>
          <w:szCs w:val="32"/>
        </w:rPr>
        <w:t>本年单位内部控制评价结果运用效果：根据内部控制评价报告以及整改文件及成果等内容填写，仅考虑与内部控制单位层面及六大经济领域业务的相关内容。</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8.</w:t>
      </w:r>
      <w:r>
        <w:rPr>
          <w:rFonts w:hint="eastAsia" w:ascii="仿宋_GB2312" w:hAnsi="楷体" w:eastAsia="仿宋_GB2312" w:cs="楷体"/>
          <w:sz w:val="32"/>
          <w:szCs w:val="32"/>
        </w:rPr>
        <w:t>本年单位与内部控制相关的巡视结果运用效果：根据单位巡视报告及巡视整改工作报告等内容填写，仅考虑与内部控制单位层面及六大经济领域业务的相关内容。</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9.</w:t>
      </w:r>
      <w:r>
        <w:rPr>
          <w:rFonts w:hint="eastAsia" w:ascii="仿宋_GB2312" w:hAnsi="楷体" w:eastAsia="仿宋_GB2312" w:cs="楷体"/>
          <w:sz w:val="32"/>
          <w:szCs w:val="32"/>
        </w:rPr>
        <w:t>本年单位与内部控制相关的纪检监察结果运用效果：根据单位纪检监察报告及整改工作报告等内容填写，仅考虑与内部控制单位层面及六大经济领域业务的相关内容。</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10.</w:t>
      </w:r>
      <w:r>
        <w:rPr>
          <w:rFonts w:hint="eastAsia" w:ascii="仿宋_GB2312" w:hAnsi="楷体" w:eastAsia="仿宋_GB2312" w:cs="楷体"/>
          <w:sz w:val="32"/>
          <w:szCs w:val="32"/>
        </w:rPr>
        <w:t>本年单位与内部控制相关的审计结果运用效果：根据单位审计报告及整改工作报告等内容填写，仅考虑与内部控制单位层面及六大经济领域业务的相关内容。</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（三）权力运行制衡机制建立情况</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分事行权：根据单位内部控制体系实际建设情况勾选。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分岗设权：根据单位内部控制体系实际建设情况勾选。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分级授权：根据单位内部控制体系实际建设情况勾选。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定期轮岗：根据单位内部控制体系实际建设情况勾选。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专项审计：根据不具备定期轮岗的单位对关键岗位实施专项审计的实际情况勾选。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6.</w:t>
      </w:r>
      <w:r>
        <w:rPr>
          <w:rFonts w:hint="eastAsia" w:ascii="仿宋_GB2312" w:hAnsi="楷体" w:eastAsia="仿宋_GB2312" w:cs="楷体"/>
          <w:sz w:val="32"/>
          <w:szCs w:val="32"/>
        </w:rPr>
        <w:t>职责明晰：根据单位是否建立领导权力清单、部门责任清单、岗位职责清单勾选。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7.</w:t>
      </w:r>
      <w:r>
        <w:rPr>
          <w:rFonts w:hint="eastAsia" w:ascii="仿宋_GB2312" w:hAnsi="楷体" w:eastAsia="仿宋_GB2312" w:cs="楷体"/>
          <w:sz w:val="32"/>
          <w:szCs w:val="32"/>
        </w:rPr>
        <w:t>决策程序：根据单位进行的重大决策程序的实施情况勾选。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（四）政府会计改革</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按照国家统一的会计准则制度进行账务处理并编制会计报表，是内部控制实施的重要内容，单位应当建立健全会计核算过程和财务报告编制环节的内部控制制度。</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单位是否应当执行政府会计准则制度：根据单位的实际情况勾选。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本年单位是否按照政府会计准则制度要求</w:t>
      </w:r>
      <w:r>
        <w:rPr>
          <w:rFonts w:hint="eastAsia" w:ascii="仿宋_GB2312" w:hAnsi="楷体" w:eastAsia="仿宋_GB2312" w:cs="楷体"/>
          <w:bCs/>
          <w:color w:val="000000" w:themeColor="text1"/>
          <w:sz w:val="32"/>
          <w:szCs w:val="32"/>
        </w:rPr>
        <w:t>开展预算会计核算和财务会计核算</w:t>
      </w:r>
      <w:r>
        <w:rPr>
          <w:rFonts w:hint="eastAsia" w:ascii="仿宋_GB2312" w:hAnsi="楷体" w:eastAsia="仿宋_GB2312" w:cs="楷体"/>
          <w:sz w:val="32"/>
          <w:szCs w:val="32"/>
        </w:rPr>
        <w:t>：根据单位年度预算会计核算和财务会计核算情况勾选。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本年单位是否对固定资产和无形资产计提折旧或摊销：根据单位固定资产和无形资产会计核算实际情况勾选。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本年编制政府部门财务报告时，部门及所属单位之间发生的经济业务或事项是否在抵销前进行确认：根据本年度政府部门财务报告编制过程中的内部抵销情况勾选。若单位不存在内部抵销事项，则勾选“不适用”。</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bCs/>
          <w:color w:val="000000" w:themeColor="text1"/>
          <w:sz w:val="32"/>
          <w:szCs w:val="32"/>
        </w:rPr>
        <w:t>单位是否将基本建设投资、公共基础设施、保障性住房、政府储备物资、国有文物文化资产等纳入统一账簿进行会计核算</w:t>
      </w:r>
      <w:r>
        <w:rPr>
          <w:rFonts w:hint="eastAsia" w:ascii="仿宋_GB2312" w:hAnsi="楷体" w:eastAsia="仿宋_GB2312" w:cs="楷体"/>
          <w:sz w:val="32"/>
          <w:szCs w:val="32"/>
        </w:rPr>
        <w:t>：根据单位</w:t>
      </w:r>
      <w:r>
        <w:rPr>
          <w:rFonts w:hint="eastAsia" w:ascii="仿宋_GB2312" w:hAnsi="楷体" w:eastAsia="仿宋_GB2312" w:cs="楷体"/>
          <w:bCs/>
          <w:color w:val="000000" w:themeColor="text1"/>
          <w:sz w:val="32"/>
          <w:szCs w:val="32"/>
        </w:rPr>
        <w:t>基本建设投资、公共基础设施、保障性住房、政府储备物资、国有文物文化资产</w:t>
      </w:r>
      <w:r>
        <w:rPr>
          <w:rFonts w:hint="eastAsia" w:ascii="仿宋_GB2312" w:hAnsi="楷体" w:eastAsia="仿宋_GB2312" w:cs="楷体"/>
          <w:sz w:val="32"/>
          <w:szCs w:val="32"/>
        </w:rPr>
        <w:t>核算实际情况勾选。若单位不存在相关业务，则勾选“不适用”。</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二、业务层面内部控制情况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（一）内部控制适用的业务领域</w:t>
      </w:r>
    </w:p>
    <w:p>
      <w:pPr>
        <w:pStyle w:val="21"/>
        <w:tabs>
          <w:tab w:val="left" w:pos="851"/>
        </w:tabs>
        <w:overflowPunct w:val="0"/>
        <w:spacing w:line="580" w:lineRule="exact"/>
        <w:ind w:firstLine="640"/>
        <w:rPr>
          <w:rFonts w:ascii="仿宋_GB2312" w:hAnsi="楷体" w:eastAsia="仿宋_GB2312" w:cs="楷体"/>
          <w:sz w:val="32"/>
          <w:szCs w:val="32"/>
          <w:highlight w:val="yellow"/>
          <w:u w:val="single"/>
        </w:rPr>
      </w:pPr>
      <w:r>
        <w:rPr>
          <w:rFonts w:hint="eastAsia" w:ascii="仿宋_GB2312" w:hAnsi="楷体" w:eastAsia="仿宋_GB2312" w:cs="楷体"/>
          <w:sz w:val="32"/>
          <w:szCs w:val="32"/>
        </w:rPr>
        <w:t>内部控制适用的六大经济业务领域：根据单位内部控制体系对六大经济业务领域的实际适用情况勾选。若内部控制建设覆盖六大业务领域以外的其他业务，可填写具体业务名称。</w:t>
      </w:r>
      <w:r>
        <w:rPr>
          <w:rFonts w:hint="eastAsia" w:ascii="仿宋_GB2312" w:hAnsi="楷体" w:eastAsia="仿宋_GB2312" w:cs="楷体"/>
          <w:sz w:val="32"/>
          <w:szCs w:val="32"/>
          <w:u w:val="single"/>
        </w:rPr>
        <w:t>对于不适用的业务领域，应在佐证材料中加以说明，如加盖单位公章的说明资料等。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（二）内部控制业务工作职责分离情况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内部控制业务工作职责分离是指对于各业务环节中的不相容职责，不得由同一人员承担。该指标根据各业务环节中的工作职责安排与岗位设置情况勾选。需上传岗位职责说明书等制度文件作为佐证材料。“不适用”是指单位不存在此项业务环节，应在佐证材料中加以说明，如加盖单位公章的说明资料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（三）内部控制业务轮岗情况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《中华人民共和国公务员法》（</w:t>
      </w:r>
      <w:r>
        <w:rPr>
          <w:rFonts w:ascii="仿宋_GB2312" w:hAnsi="楷体" w:eastAsia="仿宋_GB2312" w:cs="楷体"/>
          <w:sz w:val="32"/>
          <w:szCs w:val="32"/>
        </w:rPr>
        <w:t>2017</w:t>
      </w:r>
      <w:r>
        <w:rPr>
          <w:rFonts w:hint="eastAsia" w:ascii="仿宋_GB2312" w:hAnsi="楷体" w:eastAsia="仿宋_GB2312" w:cs="楷体"/>
          <w:sz w:val="32"/>
          <w:szCs w:val="32"/>
        </w:rPr>
        <w:t>年</w:t>
      </w:r>
      <w:r>
        <w:rPr>
          <w:rFonts w:ascii="仿宋_GB2312" w:hAnsi="楷体" w:eastAsia="仿宋_GB2312" w:cs="楷体"/>
          <w:sz w:val="32"/>
          <w:szCs w:val="32"/>
        </w:rPr>
        <w:t>9</w:t>
      </w:r>
      <w:r>
        <w:rPr>
          <w:rFonts w:hint="eastAsia" w:ascii="仿宋_GB2312" w:hAnsi="楷体" w:eastAsia="仿宋_GB2312" w:cs="楷体"/>
          <w:sz w:val="32"/>
          <w:szCs w:val="32"/>
        </w:rPr>
        <w:t>月修订）明确提出公务员交流制度，单位应有计划地对关键职位人员实行轮岗交流，明确轮岗周期与轮岗方式。</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内部控制业务轮岗情况根据各业务岗位轮换情况填写。重点关注内部控制六大业务领域的归口管理人员轮岗情况。</w:t>
      </w:r>
      <w:r>
        <w:rPr>
          <w:rFonts w:hint="eastAsia" w:ascii="仿宋_GB2312" w:hAnsi="楷体" w:eastAsia="仿宋_GB2312" w:cs="楷体"/>
          <w:sz w:val="32"/>
          <w:szCs w:val="32"/>
          <w:u w:val="single"/>
        </w:rPr>
        <w:t>若在单位规定的轮岗周期内未进行过轮岗或专项审计，则选择“轮岗周期内未进行轮岗”</w:t>
      </w:r>
      <w:r>
        <w:rPr>
          <w:rFonts w:hint="eastAsia" w:ascii="仿宋_GB2312" w:hAnsi="楷体" w:eastAsia="仿宋_GB2312" w:cs="楷体"/>
          <w:sz w:val="32"/>
          <w:szCs w:val="32"/>
        </w:rPr>
        <w:t>。需上传定期轮岗（或专项审计）相关制度、轮岗（或审计）记录表等文件作为佐证材料。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（四）建立健全内部控制制度情况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业务环节（类别）适用情况</w:t>
      </w:r>
      <w:r>
        <w:rPr>
          <w:rFonts w:ascii="仿宋_GB2312" w:hAnsi="楷体" w:eastAsia="仿宋_GB2312" w:cs="楷体"/>
          <w:sz w:val="32"/>
          <w:szCs w:val="32"/>
        </w:rPr>
        <w:t>:</w:t>
      </w:r>
      <w:r>
        <w:rPr>
          <w:rFonts w:hint="eastAsia" w:ascii="仿宋_GB2312" w:hAnsi="楷体" w:eastAsia="仿宋_GB2312" w:cs="楷体"/>
          <w:sz w:val="32"/>
          <w:szCs w:val="32"/>
        </w:rPr>
        <w:t>根据单位业务环节（类别）的实际适用情况勾选。“不适用”是指单位不存在此项业务环节（类别）。对于不适用的业务环节（类别），应在佐证材料中加以说明，如加盖单位公章的说明资料等。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是否已建立制度和流程图：根据单位内部控制制度和流程图建立情况勾选。截至</w:t>
      </w:r>
      <w:r>
        <w:rPr>
          <w:rFonts w:ascii="仿宋_GB2312" w:hAnsi="楷体" w:eastAsia="仿宋_GB2312" w:cs="楷体"/>
          <w:sz w:val="32"/>
          <w:szCs w:val="32"/>
        </w:rPr>
        <w:t>2020</w:t>
      </w:r>
      <w:r>
        <w:rPr>
          <w:rFonts w:hint="eastAsia" w:ascii="仿宋_GB2312" w:hAnsi="楷体" w:eastAsia="仿宋_GB2312" w:cs="楷体"/>
          <w:sz w:val="32"/>
          <w:szCs w:val="32"/>
        </w:rPr>
        <w:t>年底单位已经建立对应业务环节（类别）的制度或流程图，勾选“是”；若单位尚未建立对应业务环节（类别）的制度或流程图，勾选“否”。</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本年是否更新：根据单位本年内部控制制度和流程图更新情况勾选。若单位在以前年度已经建立对应业务环节（类别）的制度或流程图且本年进行过更新，或者单位本年首次建立对应制度或流程图，勾选“是”，否则勾选“否”。</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制度关键管控点：根据单位内部控制制度内容实际覆盖管控点情况勾选。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佐证材料：需上传各业务的内部控制制度和流程图作为佐证材料。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（五）内部控制制度执行情况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根据单位内部控制管理制度、业务表单与文件、信息系统数据等材料填写。所填数据中，金额类指标以“元”为单位。对于不适用的评价要点，应在佐证材料中加以说明，如加盖单位公章的说明资料等。</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各评价要点取数规则如下：</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本年单位事前绩效评估执行情况：“本年新增重大项目数量”，是指</w:t>
      </w:r>
      <w:r>
        <w:rPr>
          <w:rFonts w:ascii="仿宋_GB2312" w:hAnsi="楷体" w:eastAsia="仿宋_GB2312" w:cs="楷体"/>
          <w:sz w:val="32"/>
          <w:szCs w:val="32"/>
        </w:rPr>
        <w:t>2020</w:t>
      </w:r>
      <w:r>
        <w:rPr>
          <w:rFonts w:hint="eastAsia" w:ascii="仿宋_GB2312" w:hAnsi="楷体" w:eastAsia="仿宋_GB2312" w:cs="楷体"/>
          <w:sz w:val="32"/>
          <w:szCs w:val="32"/>
        </w:rPr>
        <w:t>年单位新设立的非常态化、非延续性的重大项目数量；“已开展事前绩效评估的本年新增重大项目数量”，是指单位组织或由主管部门统一组织的针对</w:t>
      </w:r>
      <w:r>
        <w:rPr>
          <w:rFonts w:ascii="仿宋_GB2312" w:hAnsi="楷体" w:eastAsia="仿宋_GB2312" w:cs="楷体"/>
          <w:sz w:val="32"/>
          <w:szCs w:val="32"/>
        </w:rPr>
        <w:t>2020</w:t>
      </w:r>
      <w:r>
        <w:rPr>
          <w:rFonts w:hint="eastAsia" w:ascii="仿宋_GB2312" w:hAnsi="楷体" w:eastAsia="仿宋_GB2312" w:cs="楷体"/>
          <w:sz w:val="32"/>
          <w:szCs w:val="32"/>
        </w:rPr>
        <w:t>年新设立的重大项目开展事前绩效评估的项目数量。预算项目是指非基本支出的二级预算项目。</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本年单位项目支出绩效目标管理情况：“项目总数”，是指经批复的</w:t>
      </w:r>
      <w:r>
        <w:rPr>
          <w:rFonts w:ascii="仿宋_GB2312" w:hAnsi="楷体" w:eastAsia="仿宋_GB2312" w:cs="楷体"/>
          <w:sz w:val="32"/>
          <w:szCs w:val="32"/>
        </w:rPr>
        <w:t>2020</w:t>
      </w:r>
      <w:r>
        <w:rPr>
          <w:rFonts w:hint="eastAsia" w:ascii="仿宋_GB2312" w:hAnsi="楷体" w:eastAsia="仿宋_GB2312" w:cs="楷体"/>
          <w:sz w:val="32"/>
          <w:szCs w:val="32"/>
        </w:rPr>
        <w:t>年单位正在执行的项目数量；“已开展绩效目标管理的项目数量”，是指单位</w:t>
      </w:r>
      <w:r>
        <w:rPr>
          <w:rFonts w:ascii="仿宋_GB2312" w:hAnsi="楷体" w:eastAsia="仿宋_GB2312" w:cs="楷体"/>
          <w:sz w:val="32"/>
          <w:szCs w:val="32"/>
        </w:rPr>
        <w:t>2020</w:t>
      </w:r>
      <w:r>
        <w:rPr>
          <w:rFonts w:hint="eastAsia" w:ascii="仿宋_GB2312" w:hAnsi="楷体" w:eastAsia="仿宋_GB2312" w:cs="楷体"/>
          <w:sz w:val="32"/>
          <w:szCs w:val="32"/>
        </w:rPr>
        <w:t>年执行绩效目标管理的项目数量。</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本年单位预算绩效运行监控执行情况：“项目总数”同上；“已开展预算绩效运行监控的项目数量”，是指单位针对</w:t>
      </w:r>
      <w:r>
        <w:rPr>
          <w:rFonts w:ascii="仿宋_GB2312" w:hAnsi="楷体" w:eastAsia="仿宋_GB2312" w:cs="楷体"/>
          <w:sz w:val="32"/>
          <w:szCs w:val="32"/>
        </w:rPr>
        <w:t>2020</w:t>
      </w:r>
      <w:r>
        <w:rPr>
          <w:rFonts w:hint="eastAsia" w:ascii="仿宋_GB2312" w:hAnsi="楷体" w:eastAsia="仿宋_GB2312" w:cs="楷体"/>
          <w:sz w:val="32"/>
          <w:szCs w:val="32"/>
        </w:rPr>
        <w:t>年执行项目开展绩效运行监控的项目数量。</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4.</w:t>
      </w:r>
      <w:r>
        <w:rPr>
          <w:rFonts w:hint="eastAsia" w:ascii="仿宋_GB2312" w:hAnsi="楷体" w:eastAsia="仿宋_GB2312" w:cs="楷体"/>
          <w:sz w:val="32"/>
          <w:szCs w:val="32"/>
        </w:rPr>
        <w:t>本年单位预算绩效自评执行情况：“项目总数”同上；“已开展预算绩效自评的项目数量”，是指单位针对</w:t>
      </w:r>
      <w:r>
        <w:rPr>
          <w:rFonts w:ascii="仿宋_GB2312" w:hAnsi="楷体" w:eastAsia="仿宋_GB2312" w:cs="楷体"/>
          <w:sz w:val="32"/>
          <w:szCs w:val="32"/>
        </w:rPr>
        <w:t>2020</w:t>
      </w:r>
      <w:r>
        <w:rPr>
          <w:rFonts w:hint="eastAsia" w:ascii="仿宋_GB2312" w:hAnsi="楷体" w:eastAsia="仿宋_GB2312" w:cs="楷体"/>
          <w:sz w:val="32"/>
          <w:szCs w:val="32"/>
        </w:rPr>
        <w:t>年执行项目开展绩效自评的项目数量（包括委托第三方开展绩效评价的项目）。</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评价要点</w:t>
      </w:r>
      <w:r>
        <w:rPr>
          <w:rFonts w:ascii="仿宋_GB2312" w:hAnsi="楷体" w:eastAsia="仿宋_GB2312" w:cs="楷体"/>
          <w:sz w:val="32"/>
          <w:szCs w:val="32"/>
        </w:rPr>
        <w:t>1-4</w:t>
      </w:r>
      <w:r>
        <w:rPr>
          <w:rFonts w:hint="eastAsia" w:ascii="仿宋_GB2312" w:hAnsi="楷体" w:eastAsia="仿宋_GB2312" w:cs="楷体"/>
          <w:sz w:val="32"/>
          <w:szCs w:val="32"/>
        </w:rPr>
        <w:t>需上传单位正在执行的预算项目清单作为佐证材料，清单中需至少包括以下信息：项目名称、项目代码、是否为本年新设立项目、是否已开展事前绩效评估、是否已开展绩效目标管理、是否已开展预算绩效运行监控、是否已开展预算绩效自评。</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5.</w:t>
      </w:r>
      <w:r>
        <w:rPr>
          <w:rFonts w:hint="eastAsia" w:ascii="仿宋_GB2312" w:hAnsi="楷体" w:eastAsia="仿宋_GB2312" w:cs="楷体"/>
          <w:sz w:val="32"/>
          <w:szCs w:val="32"/>
        </w:rPr>
        <w:t>非税收入管控情况。“应上缴非税收入”，是指决算报表的《非税收入征缴情况表》（财决附</w:t>
      </w:r>
      <w:r>
        <w:rPr>
          <w:rFonts w:ascii="仿宋_GB2312" w:hAnsi="楷体" w:eastAsia="仿宋_GB2312" w:cs="楷体"/>
          <w:sz w:val="32"/>
          <w:szCs w:val="32"/>
        </w:rPr>
        <w:t>04</w:t>
      </w:r>
      <w:r>
        <w:rPr>
          <w:rFonts w:hint="eastAsia" w:ascii="仿宋_GB2312" w:hAnsi="楷体" w:eastAsia="仿宋_GB2312" w:cs="楷体"/>
          <w:sz w:val="32"/>
          <w:szCs w:val="32"/>
        </w:rPr>
        <w:t>表）中纳入预算管理以及纳入财政专户管理的非税收入合计数，即表第</w:t>
      </w:r>
      <w:r>
        <w:rPr>
          <w:rFonts w:ascii="仿宋_GB2312" w:hAnsi="楷体" w:eastAsia="仿宋_GB2312" w:cs="楷体"/>
          <w:sz w:val="32"/>
          <w:szCs w:val="32"/>
        </w:rPr>
        <w:t>2</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行合计数加第</w:t>
      </w:r>
      <w:r>
        <w:rPr>
          <w:rFonts w:ascii="仿宋_GB2312" w:hAnsi="楷体" w:eastAsia="仿宋_GB2312" w:cs="楷体"/>
          <w:sz w:val="32"/>
          <w:szCs w:val="32"/>
        </w:rPr>
        <w:t>7</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行合计数（单位：元）；“实际上缴非税收入”，是指决算报表的《非税收入征缴情况表》（财决附</w:t>
      </w:r>
      <w:r>
        <w:rPr>
          <w:rFonts w:ascii="仿宋_GB2312" w:hAnsi="楷体" w:eastAsia="仿宋_GB2312" w:cs="楷体"/>
          <w:sz w:val="32"/>
          <w:szCs w:val="32"/>
        </w:rPr>
        <w:t>04</w:t>
      </w:r>
      <w:r>
        <w:rPr>
          <w:rFonts w:hint="eastAsia" w:ascii="仿宋_GB2312" w:hAnsi="楷体" w:eastAsia="仿宋_GB2312" w:cs="楷体"/>
          <w:sz w:val="32"/>
          <w:szCs w:val="32"/>
        </w:rPr>
        <w:t>表）中纳入预算管理的已缴国库小计数及纳入财政专户管理的已缴财政专户小计数之和，即表第</w:t>
      </w:r>
      <w:r>
        <w:rPr>
          <w:rFonts w:ascii="仿宋_GB2312" w:hAnsi="楷体" w:eastAsia="仿宋_GB2312" w:cs="楷体"/>
          <w:sz w:val="32"/>
          <w:szCs w:val="32"/>
        </w:rPr>
        <w:t>3</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行合计数加第</w:t>
      </w:r>
      <w:r>
        <w:rPr>
          <w:rFonts w:ascii="仿宋_GB2312" w:hAnsi="楷体" w:eastAsia="仿宋_GB2312" w:cs="楷体"/>
          <w:sz w:val="32"/>
          <w:szCs w:val="32"/>
        </w:rPr>
        <w:t>8</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行合计数（单位：元）。</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6.</w:t>
      </w:r>
      <w:r>
        <w:rPr>
          <w:rFonts w:hint="eastAsia" w:ascii="仿宋_GB2312" w:hAnsi="楷体" w:eastAsia="仿宋_GB2312" w:cs="楷体"/>
          <w:sz w:val="32"/>
          <w:szCs w:val="32"/>
        </w:rPr>
        <w:t>本年支出预决算对比情况。“本年支出预算金额”，是指本年决算报表的《收入支出决算总表》（财决</w:t>
      </w:r>
      <w:r>
        <w:rPr>
          <w:rFonts w:ascii="仿宋_GB2312" w:hAnsi="楷体" w:eastAsia="仿宋_GB2312" w:cs="楷体"/>
          <w:sz w:val="32"/>
          <w:szCs w:val="32"/>
        </w:rPr>
        <w:t>01</w:t>
      </w:r>
      <w:r>
        <w:rPr>
          <w:rFonts w:hint="eastAsia" w:ascii="仿宋_GB2312" w:hAnsi="楷体" w:eastAsia="仿宋_GB2312" w:cs="楷体"/>
          <w:sz w:val="32"/>
          <w:szCs w:val="32"/>
        </w:rPr>
        <w:t>表）中本年支出的调整预算数，即表第</w:t>
      </w:r>
      <w:r>
        <w:rPr>
          <w:rFonts w:ascii="仿宋_GB2312" w:hAnsi="楷体" w:eastAsia="仿宋_GB2312" w:cs="楷体"/>
          <w:sz w:val="32"/>
          <w:szCs w:val="32"/>
        </w:rPr>
        <w:t>8</w:t>
      </w:r>
      <w:r>
        <w:rPr>
          <w:rFonts w:hint="eastAsia" w:ascii="仿宋_GB2312" w:hAnsi="楷体" w:eastAsia="仿宋_GB2312" w:cs="楷体"/>
          <w:sz w:val="32"/>
          <w:szCs w:val="32"/>
        </w:rPr>
        <w:t>栏次第</w:t>
      </w:r>
      <w:r>
        <w:rPr>
          <w:rFonts w:ascii="仿宋_GB2312" w:hAnsi="楷体" w:eastAsia="仿宋_GB2312" w:cs="楷体"/>
          <w:sz w:val="32"/>
          <w:szCs w:val="32"/>
        </w:rPr>
        <w:t>84</w:t>
      </w:r>
      <w:r>
        <w:rPr>
          <w:rFonts w:hint="eastAsia" w:ascii="仿宋_GB2312" w:hAnsi="楷体" w:eastAsia="仿宋_GB2312" w:cs="楷体"/>
          <w:sz w:val="32"/>
          <w:szCs w:val="32"/>
        </w:rPr>
        <w:t>行合计数（单位：元）；“本年实际支出总额”是指</w:t>
      </w:r>
      <w:r>
        <w:rPr>
          <w:rFonts w:ascii="仿宋_GB2312" w:hAnsi="楷体" w:eastAsia="仿宋_GB2312" w:cs="楷体"/>
          <w:sz w:val="32"/>
          <w:szCs w:val="32"/>
        </w:rPr>
        <w:t>2020</w:t>
      </w:r>
      <w:r>
        <w:rPr>
          <w:rFonts w:hint="eastAsia" w:ascii="仿宋_GB2312" w:hAnsi="楷体" w:eastAsia="仿宋_GB2312" w:cs="楷体"/>
          <w:sz w:val="32"/>
          <w:szCs w:val="32"/>
        </w:rPr>
        <w:t>年决算报表的《收入支出决算总表》（财决</w:t>
      </w:r>
      <w:r>
        <w:rPr>
          <w:rFonts w:ascii="仿宋_GB2312" w:hAnsi="楷体" w:eastAsia="仿宋_GB2312" w:cs="楷体"/>
          <w:sz w:val="32"/>
          <w:szCs w:val="32"/>
        </w:rPr>
        <w:t>01</w:t>
      </w:r>
      <w:r>
        <w:rPr>
          <w:rFonts w:hint="eastAsia" w:ascii="仿宋_GB2312" w:hAnsi="楷体" w:eastAsia="仿宋_GB2312" w:cs="楷体"/>
          <w:sz w:val="32"/>
          <w:szCs w:val="32"/>
        </w:rPr>
        <w:t>表）中本年支出的决算数，即表第</w:t>
      </w:r>
      <w:r>
        <w:rPr>
          <w:rFonts w:ascii="仿宋_GB2312" w:hAnsi="楷体" w:eastAsia="仿宋_GB2312" w:cs="楷体"/>
          <w:sz w:val="32"/>
          <w:szCs w:val="32"/>
        </w:rPr>
        <w:t>9</w:t>
      </w:r>
      <w:r>
        <w:rPr>
          <w:rFonts w:hint="eastAsia" w:ascii="仿宋_GB2312" w:hAnsi="楷体" w:eastAsia="仿宋_GB2312" w:cs="楷体"/>
          <w:sz w:val="32"/>
          <w:szCs w:val="32"/>
        </w:rPr>
        <w:t>栏次第</w:t>
      </w:r>
      <w:r>
        <w:rPr>
          <w:rFonts w:ascii="仿宋_GB2312" w:hAnsi="楷体" w:eastAsia="仿宋_GB2312" w:cs="楷体"/>
          <w:sz w:val="32"/>
          <w:szCs w:val="32"/>
        </w:rPr>
        <w:t>84</w:t>
      </w:r>
      <w:r>
        <w:rPr>
          <w:rFonts w:hint="eastAsia" w:ascii="仿宋_GB2312" w:hAnsi="楷体" w:eastAsia="仿宋_GB2312" w:cs="楷体"/>
          <w:sz w:val="32"/>
          <w:szCs w:val="32"/>
        </w:rPr>
        <w:t>行合计数（单位：元）。</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7.</w:t>
      </w:r>
      <w:r>
        <w:rPr>
          <w:rFonts w:hint="eastAsia" w:ascii="仿宋_GB2312" w:hAnsi="楷体" w:eastAsia="仿宋_GB2312" w:cs="楷体"/>
          <w:sz w:val="32"/>
          <w:szCs w:val="32"/>
        </w:rPr>
        <w:t>“三公”经费支出上下年对比情况。“上年‘三公’经费决算数”，是指</w:t>
      </w:r>
      <w:r>
        <w:rPr>
          <w:rFonts w:ascii="仿宋_GB2312" w:hAnsi="楷体" w:eastAsia="仿宋_GB2312" w:cs="楷体"/>
          <w:sz w:val="32"/>
          <w:szCs w:val="32"/>
        </w:rPr>
        <w:t>2019</w:t>
      </w:r>
      <w:r>
        <w:rPr>
          <w:rFonts w:hint="eastAsia" w:ascii="仿宋_GB2312" w:hAnsi="楷体" w:eastAsia="仿宋_GB2312" w:cs="楷体"/>
          <w:sz w:val="32"/>
          <w:szCs w:val="32"/>
        </w:rPr>
        <w:t>年决算报表的《机构运行信息表》（财决附</w:t>
      </w:r>
      <w:r>
        <w:rPr>
          <w:rFonts w:ascii="仿宋_GB2312" w:hAnsi="楷体" w:eastAsia="仿宋_GB2312" w:cs="楷体"/>
          <w:sz w:val="32"/>
          <w:szCs w:val="32"/>
        </w:rPr>
        <w:t>03</w:t>
      </w:r>
      <w:r>
        <w:rPr>
          <w:rFonts w:hint="eastAsia" w:ascii="仿宋_GB2312" w:hAnsi="楷体" w:eastAsia="仿宋_GB2312" w:cs="楷体"/>
          <w:sz w:val="32"/>
          <w:szCs w:val="32"/>
        </w:rPr>
        <w:t>表）中“三公”经费支出的支出合计数，即表第</w:t>
      </w:r>
      <w:r>
        <w:rPr>
          <w:rFonts w:ascii="仿宋_GB2312" w:hAnsi="楷体" w:eastAsia="仿宋_GB2312" w:cs="楷体"/>
          <w:sz w:val="32"/>
          <w:szCs w:val="32"/>
        </w:rPr>
        <w:t>2</w:t>
      </w:r>
      <w:r>
        <w:rPr>
          <w:rFonts w:hint="eastAsia" w:ascii="仿宋_GB2312" w:hAnsi="楷体" w:eastAsia="仿宋_GB2312" w:cs="楷体"/>
          <w:sz w:val="32"/>
          <w:szCs w:val="32"/>
        </w:rPr>
        <w:t>栏次第</w:t>
      </w:r>
      <w:r>
        <w:rPr>
          <w:rFonts w:ascii="仿宋_GB2312" w:hAnsi="楷体" w:eastAsia="仿宋_GB2312" w:cs="楷体"/>
          <w:sz w:val="32"/>
          <w:szCs w:val="32"/>
        </w:rPr>
        <w:t>2</w:t>
      </w:r>
      <w:r>
        <w:rPr>
          <w:rFonts w:hint="eastAsia" w:ascii="仿宋_GB2312" w:hAnsi="楷体" w:eastAsia="仿宋_GB2312" w:cs="楷体"/>
          <w:sz w:val="32"/>
          <w:szCs w:val="32"/>
        </w:rPr>
        <w:t>行统计数（单位：元）；“本年‘三公’经费决算数”是指</w:t>
      </w:r>
      <w:r>
        <w:rPr>
          <w:rFonts w:ascii="仿宋_GB2312" w:hAnsi="楷体" w:eastAsia="仿宋_GB2312" w:cs="楷体"/>
          <w:sz w:val="32"/>
          <w:szCs w:val="32"/>
        </w:rPr>
        <w:t>2020</w:t>
      </w:r>
      <w:r>
        <w:rPr>
          <w:rFonts w:hint="eastAsia" w:ascii="仿宋_GB2312" w:hAnsi="楷体" w:eastAsia="仿宋_GB2312" w:cs="楷体"/>
          <w:sz w:val="32"/>
          <w:szCs w:val="32"/>
        </w:rPr>
        <w:t>年决算报表的《机构运行信息表》（财决附</w:t>
      </w:r>
      <w:r>
        <w:rPr>
          <w:rFonts w:ascii="仿宋_GB2312" w:hAnsi="楷体" w:eastAsia="仿宋_GB2312" w:cs="楷体"/>
          <w:sz w:val="32"/>
          <w:szCs w:val="32"/>
        </w:rPr>
        <w:t>03</w:t>
      </w:r>
      <w:r>
        <w:rPr>
          <w:rFonts w:hint="eastAsia" w:ascii="仿宋_GB2312" w:hAnsi="楷体" w:eastAsia="仿宋_GB2312" w:cs="楷体"/>
          <w:sz w:val="32"/>
          <w:szCs w:val="32"/>
        </w:rPr>
        <w:t>表）中“三公”经费支出的支出合计数，即表第</w:t>
      </w:r>
      <w:r>
        <w:rPr>
          <w:rFonts w:ascii="仿宋_GB2312" w:hAnsi="楷体" w:eastAsia="仿宋_GB2312" w:cs="楷体"/>
          <w:sz w:val="32"/>
          <w:szCs w:val="32"/>
        </w:rPr>
        <w:t>2</w:t>
      </w:r>
      <w:r>
        <w:rPr>
          <w:rFonts w:hint="eastAsia" w:ascii="仿宋_GB2312" w:hAnsi="楷体" w:eastAsia="仿宋_GB2312" w:cs="楷体"/>
          <w:sz w:val="32"/>
          <w:szCs w:val="32"/>
        </w:rPr>
        <w:t>栏次第</w:t>
      </w:r>
      <w:r>
        <w:rPr>
          <w:rFonts w:ascii="仿宋_GB2312" w:hAnsi="楷体" w:eastAsia="仿宋_GB2312" w:cs="楷体"/>
          <w:sz w:val="32"/>
          <w:szCs w:val="32"/>
        </w:rPr>
        <w:t>2</w:t>
      </w:r>
      <w:r>
        <w:rPr>
          <w:rFonts w:hint="eastAsia" w:ascii="仿宋_GB2312" w:hAnsi="楷体" w:eastAsia="仿宋_GB2312" w:cs="楷体"/>
          <w:sz w:val="32"/>
          <w:szCs w:val="32"/>
        </w:rPr>
        <w:t>行统计数（单位：元）。</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8.</w:t>
      </w:r>
      <w:r>
        <w:rPr>
          <w:rFonts w:hint="eastAsia" w:ascii="仿宋_GB2312" w:hAnsi="楷体" w:eastAsia="仿宋_GB2312" w:cs="楷体"/>
          <w:sz w:val="32"/>
          <w:szCs w:val="32"/>
        </w:rPr>
        <w:t>政府采购预算完成情况。</w:t>
      </w:r>
      <w:r>
        <w:rPr>
          <w:rFonts w:hint="eastAsia" w:ascii="仿宋_GB2312" w:eastAsia="仿宋_GB2312"/>
          <w:sz w:val="32"/>
          <w:szCs w:val="32"/>
        </w:rPr>
        <w:t>“本年计划采购金额”，是指本年单位预算批复中的政府采购预算金额和采购预算调整金额的合计数（单位：元）；</w:t>
      </w:r>
      <w:r>
        <w:rPr>
          <w:rFonts w:hint="eastAsia" w:ascii="仿宋_GB2312" w:hAnsi="楷体" w:eastAsia="仿宋_GB2312" w:cs="楷体"/>
          <w:sz w:val="32"/>
          <w:szCs w:val="32"/>
        </w:rPr>
        <w:t>“本年实际采购金额”是指实际完成的政府采购金额，即采购决算金额，根据决算报表《机构运行信息表》（财决附</w:t>
      </w:r>
      <w:r>
        <w:rPr>
          <w:rFonts w:ascii="仿宋_GB2312" w:hAnsi="楷体" w:eastAsia="仿宋_GB2312" w:cs="楷体"/>
          <w:sz w:val="32"/>
          <w:szCs w:val="32"/>
        </w:rPr>
        <w:t>03</w:t>
      </w:r>
      <w:r>
        <w:rPr>
          <w:rFonts w:hint="eastAsia" w:ascii="仿宋_GB2312" w:hAnsi="楷体" w:eastAsia="仿宋_GB2312" w:cs="楷体"/>
          <w:sz w:val="32"/>
          <w:szCs w:val="32"/>
        </w:rPr>
        <w:t>表）第</w:t>
      </w:r>
      <w:r>
        <w:rPr>
          <w:rFonts w:ascii="仿宋_GB2312" w:hAnsi="楷体" w:eastAsia="仿宋_GB2312" w:cs="楷体"/>
          <w:sz w:val="32"/>
          <w:szCs w:val="32"/>
        </w:rPr>
        <w:t>3</w:t>
      </w:r>
      <w:r>
        <w:rPr>
          <w:rFonts w:hint="eastAsia" w:ascii="仿宋_GB2312" w:hAnsi="楷体" w:eastAsia="仿宋_GB2312" w:cs="楷体"/>
          <w:sz w:val="32"/>
          <w:szCs w:val="32"/>
        </w:rPr>
        <w:t>栏次第</w:t>
      </w:r>
      <w:r>
        <w:rPr>
          <w:rFonts w:ascii="仿宋_GB2312" w:hAnsi="楷体" w:eastAsia="仿宋_GB2312" w:cs="楷体"/>
          <w:sz w:val="32"/>
          <w:szCs w:val="32"/>
        </w:rPr>
        <w:t>40</w:t>
      </w:r>
      <w:r>
        <w:rPr>
          <w:rFonts w:hint="eastAsia" w:ascii="仿宋_GB2312" w:hAnsi="楷体" w:eastAsia="仿宋_GB2312" w:cs="楷体"/>
          <w:sz w:val="32"/>
          <w:szCs w:val="32"/>
        </w:rPr>
        <w:t>行“政府采购支出合计”的统计数（单位：元）填列。</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9.</w:t>
      </w:r>
      <w:r>
        <w:rPr>
          <w:rFonts w:hint="eastAsia" w:ascii="仿宋_GB2312" w:hAnsi="楷体" w:eastAsia="仿宋_GB2312" w:cs="楷体"/>
          <w:sz w:val="32"/>
          <w:szCs w:val="32"/>
        </w:rPr>
        <w:t>资产账实相符程度。“年末总资产账面金额”，是指单位国有资产报表中资产价值年末数，根据国有资产报表《资产负债表》（财资</w:t>
      </w:r>
      <w:r>
        <w:rPr>
          <w:rFonts w:ascii="仿宋_GB2312" w:hAnsi="楷体" w:eastAsia="仿宋_GB2312" w:cs="楷体"/>
          <w:sz w:val="32"/>
          <w:szCs w:val="32"/>
        </w:rPr>
        <w:t>01</w:t>
      </w:r>
      <w:r>
        <w:rPr>
          <w:rFonts w:hint="eastAsia" w:ascii="仿宋_GB2312" w:hAnsi="楷体" w:eastAsia="仿宋_GB2312" w:cs="楷体"/>
          <w:sz w:val="32"/>
          <w:szCs w:val="32"/>
        </w:rPr>
        <w:t>表）中第</w:t>
      </w:r>
      <w:r>
        <w:rPr>
          <w:rFonts w:ascii="仿宋_GB2312" w:hAnsi="楷体" w:eastAsia="仿宋_GB2312" w:cs="楷体"/>
          <w:sz w:val="32"/>
          <w:szCs w:val="32"/>
        </w:rPr>
        <w:t>2</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行资产合计期末数（单位：元）填列；“年末资产清查总额”，是指单位资产清查报告或盘点表中统计的年末单位资产价值总金额（单位：元）。需上传单位资产清查报告或盘点表作为佐证材料。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10.</w:t>
      </w:r>
      <w:r>
        <w:rPr>
          <w:rFonts w:hint="eastAsia" w:ascii="仿宋_GB2312" w:hAnsi="楷体" w:eastAsia="仿宋_GB2312" w:cs="楷体"/>
          <w:sz w:val="32"/>
          <w:szCs w:val="32"/>
        </w:rPr>
        <w:t>固定资产处置规范程度。“固定资产本期减少额”，是指单位国有资产报表中《资产处置情况表》（财资</w:t>
      </w:r>
      <w:r>
        <w:rPr>
          <w:rFonts w:ascii="仿宋_GB2312" w:hAnsi="楷体" w:eastAsia="仿宋_GB2312" w:cs="楷体"/>
          <w:sz w:val="32"/>
          <w:szCs w:val="32"/>
        </w:rPr>
        <w:t>10</w:t>
      </w:r>
      <w:r>
        <w:rPr>
          <w:rFonts w:hint="eastAsia" w:ascii="仿宋_GB2312" w:hAnsi="楷体" w:eastAsia="仿宋_GB2312" w:cs="楷体"/>
          <w:sz w:val="32"/>
          <w:szCs w:val="32"/>
        </w:rPr>
        <w:t>表）中本期减少的固定资产账面原值，即表第</w:t>
      </w:r>
      <w:r>
        <w:rPr>
          <w:rFonts w:ascii="仿宋_GB2312" w:hAnsi="楷体" w:eastAsia="仿宋_GB2312" w:cs="楷体"/>
          <w:sz w:val="32"/>
          <w:szCs w:val="32"/>
        </w:rPr>
        <w:t>6</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固定资产原值小计数（单位：元）；“固定资产处置审批金额”，是指严格按照单位国有资产业务管理制度中规定的资产处置审批权限及程序，实际审批的固定资产处置金额（单位：元）（本指标考核范围不包含固定资产出租出借涉及的金额）。该指标建议参考资产登记表、资产处置审批单、单位国有资产报表中的资产处置情况表等资料填写。需上传审核后的资产处置审批单（</w:t>
      </w:r>
      <w:r>
        <w:rPr>
          <w:rFonts w:hint="eastAsia" w:ascii="仿宋_GB2312" w:hAnsi="楷体" w:eastAsia="仿宋_GB2312" w:cs="楷体"/>
          <w:sz w:val="32"/>
          <w:szCs w:val="32"/>
          <w:u w:val="single"/>
        </w:rPr>
        <w:t>审批单数量大于</w:t>
      </w:r>
      <w:r>
        <w:rPr>
          <w:rFonts w:ascii="仿宋_GB2312" w:hAnsi="楷体" w:eastAsia="仿宋_GB2312" w:cs="楷体"/>
          <w:sz w:val="32"/>
          <w:szCs w:val="32"/>
          <w:u w:val="single"/>
        </w:rPr>
        <w:t>5</w:t>
      </w:r>
      <w:r>
        <w:rPr>
          <w:rFonts w:hint="eastAsia" w:ascii="仿宋_GB2312" w:hAnsi="楷体" w:eastAsia="仿宋_GB2312" w:cs="楷体"/>
          <w:sz w:val="32"/>
          <w:szCs w:val="32"/>
          <w:u w:val="single"/>
        </w:rPr>
        <w:t>份的单位，抽取</w:t>
      </w:r>
      <w:r>
        <w:rPr>
          <w:rFonts w:ascii="仿宋_GB2312" w:hAnsi="楷体" w:eastAsia="仿宋_GB2312" w:cs="楷体"/>
          <w:sz w:val="32"/>
          <w:szCs w:val="32"/>
          <w:u w:val="single"/>
        </w:rPr>
        <w:t>5</w:t>
      </w:r>
      <w:r>
        <w:rPr>
          <w:rFonts w:hint="eastAsia" w:ascii="仿宋_GB2312" w:hAnsi="楷体" w:eastAsia="仿宋_GB2312" w:cs="楷体"/>
          <w:sz w:val="32"/>
          <w:szCs w:val="32"/>
          <w:u w:val="single"/>
        </w:rPr>
        <w:t>份；审批单数量小于或等于</w:t>
      </w:r>
      <w:r>
        <w:rPr>
          <w:rFonts w:ascii="仿宋_GB2312" w:hAnsi="楷体" w:eastAsia="仿宋_GB2312" w:cs="楷体"/>
          <w:sz w:val="32"/>
          <w:szCs w:val="32"/>
          <w:u w:val="single"/>
        </w:rPr>
        <w:t>5</w:t>
      </w:r>
      <w:r>
        <w:rPr>
          <w:rFonts w:hint="eastAsia" w:ascii="仿宋_GB2312" w:hAnsi="楷体" w:eastAsia="仿宋_GB2312" w:cs="楷体"/>
          <w:sz w:val="32"/>
          <w:szCs w:val="32"/>
          <w:u w:val="single"/>
        </w:rPr>
        <w:t>份的单位，全部上传</w:t>
      </w:r>
      <w:r>
        <w:rPr>
          <w:rFonts w:hint="eastAsia" w:ascii="仿宋_GB2312" w:hAnsi="楷体" w:eastAsia="仿宋_GB2312" w:cs="楷体"/>
          <w:sz w:val="32"/>
          <w:szCs w:val="32"/>
        </w:rPr>
        <w:t>）作为佐证材料。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11.</w:t>
      </w:r>
      <w:r>
        <w:rPr>
          <w:rFonts w:hint="eastAsia" w:ascii="仿宋_GB2312" w:hAnsi="楷体" w:eastAsia="仿宋_GB2312" w:cs="楷体"/>
          <w:sz w:val="32"/>
          <w:szCs w:val="32"/>
        </w:rPr>
        <w:t>项目投资计划完成情况。“年度投资计划总额”，是指以预算年度为统计口径的基本建设类项目计划投资金额（单位：元），该指标建议参考投资计划表、项目概预算表等资料填写；“年度实际投资额”，是指本年度决算报表中基本建设类项目支出决算金额，根据决算报表《项目支出决算明细表》（财决</w:t>
      </w:r>
      <w:r>
        <w:rPr>
          <w:rFonts w:ascii="仿宋_GB2312" w:hAnsi="楷体" w:eastAsia="仿宋_GB2312" w:cs="楷体"/>
          <w:sz w:val="32"/>
          <w:szCs w:val="32"/>
        </w:rPr>
        <w:t>05-2</w:t>
      </w:r>
      <w:r>
        <w:rPr>
          <w:rFonts w:hint="eastAsia" w:ascii="仿宋_GB2312" w:hAnsi="楷体" w:eastAsia="仿宋_GB2312" w:cs="楷体"/>
          <w:sz w:val="32"/>
          <w:szCs w:val="32"/>
        </w:rPr>
        <w:t>表）“资本性支出（基本建设）”中第</w:t>
      </w:r>
      <w:r>
        <w:rPr>
          <w:rFonts w:ascii="仿宋_GB2312" w:hAnsi="楷体" w:eastAsia="仿宋_GB2312" w:cs="楷体"/>
          <w:sz w:val="32"/>
          <w:szCs w:val="32"/>
        </w:rPr>
        <w:t>62</w:t>
      </w:r>
      <w:r>
        <w:rPr>
          <w:rFonts w:hint="eastAsia" w:ascii="仿宋_GB2312" w:hAnsi="楷体" w:eastAsia="仿宋_GB2312" w:cs="楷体"/>
          <w:sz w:val="32"/>
          <w:szCs w:val="32"/>
        </w:rPr>
        <w:t>栏次第</w:t>
      </w:r>
      <w:r>
        <w:rPr>
          <w:rFonts w:ascii="仿宋_GB2312" w:hAnsi="楷体" w:eastAsia="仿宋_GB2312" w:cs="楷体"/>
          <w:sz w:val="32"/>
          <w:szCs w:val="32"/>
        </w:rPr>
        <w:t>1</w:t>
      </w:r>
      <w:r>
        <w:rPr>
          <w:rFonts w:hint="eastAsia" w:ascii="仿宋_GB2312" w:hAnsi="楷体" w:eastAsia="仿宋_GB2312" w:cs="楷体"/>
          <w:sz w:val="32"/>
          <w:szCs w:val="32"/>
        </w:rPr>
        <w:t>行小计数（单位：元）填列。需上传投资计划表或项目概预算表（项目数量大于</w:t>
      </w:r>
      <w:r>
        <w:rPr>
          <w:rFonts w:ascii="仿宋_GB2312" w:hAnsi="楷体" w:eastAsia="仿宋_GB2312" w:cs="楷体"/>
          <w:sz w:val="32"/>
          <w:szCs w:val="32"/>
        </w:rPr>
        <w:t>5</w:t>
      </w:r>
      <w:r>
        <w:rPr>
          <w:rFonts w:hint="eastAsia" w:ascii="仿宋_GB2312" w:hAnsi="楷体" w:eastAsia="仿宋_GB2312" w:cs="楷体"/>
          <w:sz w:val="32"/>
          <w:szCs w:val="32"/>
        </w:rPr>
        <w:t>个的单位，抽取</w:t>
      </w:r>
      <w:r>
        <w:rPr>
          <w:rFonts w:ascii="仿宋_GB2312" w:hAnsi="楷体" w:eastAsia="仿宋_GB2312" w:cs="楷体"/>
          <w:sz w:val="32"/>
          <w:szCs w:val="32"/>
        </w:rPr>
        <w:t>5</w:t>
      </w:r>
      <w:r>
        <w:rPr>
          <w:rFonts w:hint="eastAsia" w:ascii="仿宋_GB2312" w:hAnsi="楷体" w:eastAsia="仿宋_GB2312" w:cs="楷体"/>
          <w:sz w:val="32"/>
          <w:szCs w:val="32"/>
        </w:rPr>
        <w:t>份；项目数量小于或等于</w:t>
      </w:r>
      <w:r>
        <w:rPr>
          <w:rFonts w:ascii="仿宋_GB2312" w:hAnsi="楷体" w:eastAsia="仿宋_GB2312" w:cs="楷体"/>
          <w:sz w:val="32"/>
          <w:szCs w:val="32"/>
        </w:rPr>
        <w:t>5</w:t>
      </w:r>
      <w:r>
        <w:rPr>
          <w:rFonts w:hint="eastAsia" w:ascii="仿宋_GB2312" w:hAnsi="楷体" w:eastAsia="仿宋_GB2312" w:cs="楷体"/>
          <w:sz w:val="32"/>
          <w:szCs w:val="32"/>
        </w:rPr>
        <w:t>个的单位，全部上传）作为佐证材料。</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12.</w:t>
      </w:r>
      <w:r>
        <w:rPr>
          <w:rFonts w:hint="eastAsia" w:ascii="仿宋_GB2312" w:hAnsi="楷体" w:eastAsia="仿宋_GB2312" w:cs="楷体"/>
          <w:sz w:val="32"/>
          <w:szCs w:val="32"/>
        </w:rPr>
        <w:t>合同订立规范情况。“合同订立数”，是指单位本年度签订的全部合同个数；“经合法性审查的合同数”，是指在已签订的合同中，严格执行审核审批程序的合同，其中具有重大影响的合同需有法务人员参与审批并签字。该指标建议参考合同文本、合同台账等资料填写。需上传审核后的合同申请审批单（合同数量大于</w:t>
      </w:r>
      <w:r>
        <w:rPr>
          <w:rFonts w:ascii="仿宋_GB2312" w:hAnsi="楷体" w:eastAsia="仿宋_GB2312" w:cs="楷体"/>
          <w:sz w:val="32"/>
          <w:szCs w:val="32"/>
        </w:rPr>
        <w:t>5</w:t>
      </w:r>
      <w:r>
        <w:rPr>
          <w:rFonts w:hint="eastAsia" w:ascii="仿宋_GB2312" w:hAnsi="楷体" w:eastAsia="仿宋_GB2312" w:cs="楷体"/>
          <w:sz w:val="32"/>
          <w:szCs w:val="32"/>
        </w:rPr>
        <w:t>个的单位，抽取</w:t>
      </w:r>
      <w:r>
        <w:rPr>
          <w:rFonts w:ascii="仿宋_GB2312" w:hAnsi="楷体" w:eastAsia="仿宋_GB2312" w:cs="楷体"/>
          <w:sz w:val="32"/>
          <w:szCs w:val="32"/>
        </w:rPr>
        <w:t>5</w:t>
      </w:r>
      <w:r>
        <w:rPr>
          <w:rFonts w:hint="eastAsia" w:ascii="仿宋_GB2312" w:hAnsi="楷体" w:eastAsia="仿宋_GB2312" w:cs="楷体"/>
          <w:sz w:val="32"/>
          <w:szCs w:val="32"/>
        </w:rPr>
        <w:t>份；合同数量小于或等于</w:t>
      </w:r>
      <w:r>
        <w:rPr>
          <w:rFonts w:ascii="仿宋_GB2312" w:hAnsi="楷体" w:eastAsia="仿宋_GB2312" w:cs="楷体"/>
          <w:sz w:val="32"/>
          <w:szCs w:val="32"/>
        </w:rPr>
        <w:t>5</w:t>
      </w:r>
      <w:r>
        <w:rPr>
          <w:rFonts w:hint="eastAsia" w:ascii="仿宋_GB2312" w:hAnsi="楷体" w:eastAsia="仿宋_GB2312" w:cs="楷体"/>
          <w:sz w:val="32"/>
          <w:szCs w:val="32"/>
        </w:rPr>
        <w:t>个的单位，全部上传）作为佐证材料。</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三、内部控制信息化情况</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内部控制信息化建设是指运用信息化手段将内部控制关键点嵌入业务系统中。</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1.</w:t>
      </w:r>
      <w:r>
        <w:rPr>
          <w:rFonts w:hint="eastAsia" w:ascii="仿宋_GB2312" w:hAnsi="楷体" w:eastAsia="仿宋_GB2312" w:cs="楷体"/>
          <w:sz w:val="32"/>
          <w:szCs w:val="32"/>
        </w:rPr>
        <w:t>单位内部控制信息化覆盖情况：根据单位内部控制信息化建设情况勾选。其中，对于只具有报表编报或信息记录功能的系统（模块），如部门预算管理系统（财政版）、部门决算管理系统、行政事业单位资产管理信息系统（财政版）、政府财务报告管理系统、国库集中支付系统、政府会计核算系统、行政事业单位内部控制报告填报系统、与业务无关的内部控制工作辅助软件等未嵌入单位经济业务及其内部控制流程的系统，不属于内部控制信息化的组成模块。</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2.</w:t>
      </w:r>
      <w:r>
        <w:rPr>
          <w:rFonts w:hint="eastAsia" w:ascii="仿宋_GB2312" w:hAnsi="楷体" w:eastAsia="仿宋_GB2312" w:cs="楷体"/>
          <w:sz w:val="32"/>
          <w:szCs w:val="32"/>
        </w:rPr>
        <w:t>单位内部控制信息化模块联通情况：根据单位内部控制信息化建设情况勾选。模块联通是指不同业务的系统模块之间的数据信息能够同步更新与实时共享。</w:t>
      </w:r>
    </w:p>
    <w:p>
      <w:pPr>
        <w:pStyle w:val="21"/>
        <w:tabs>
          <w:tab w:val="left" w:pos="851"/>
        </w:tabs>
        <w:overflowPunct w:val="0"/>
        <w:spacing w:line="580" w:lineRule="exact"/>
        <w:ind w:firstLine="640"/>
        <w:rPr>
          <w:rFonts w:ascii="仿宋_GB2312" w:hAnsi="楷体" w:eastAsia="仿宋_GB2312" w:cs="楷体"/>
          <w:sz w:val="32"/>
          <w:szCs w:val="32"/>
        </w:rPr>
      </w:pPr>
      <w:r>
        <w:rPr>
          <w:rFonts w:ascii="仿宋_GB2312" w:hAnsi="楷体" w:eastAsia="仿宋_GB2312" w:cs="楷体"/>
          <w:sz w:val="32"/>
          <w:szCs w:val="32"/>
        </w:rPr>
        <w:t>3.</w:t>
      </w:r>
      <w:r>
        <w:rPr>
          <w:rFonts w:hint="eastAsia" w:ascii="仿宋_GB2312" w:hAnsi="楷体" w:eastAsia="仿宋_GB2312" w:cs="楷体"/>
          <w:sz w:val="32"/>
          <w:szCs w:val="32"/>
        </w:rPr>
        <w:t>是否联通政府会计核算模块：根据单位业务系统与政府会计核算系统之间实际联通情况勾选。</w:t>
      </w:r>
    </w:p>
    <w:p>
      <w:pPr>
        <w:pStyle w:val="21"/>
        <w:tabs>
          <w:tab w:val="left" w:pos="851"/>
        </w:tabs>
        <w:overflowPunct w:val="0"/>
        <w:spacing w:line="580" w:lineRule="exact"/>
        <w:ind w:firstLine="640"/>
        <w:rPr>
          <w:rFonts w:ascii="仿宋_GB2312" w:hAnsi="楷体" w:eastAsia="仿宋_GB2312" w:cs="楷体"/>
          <w:sz w:val="32"/>
          <w:szCs w:val="32"/>
          <w:u w:val="single"/>
        </w:rPr>
      </w:pPr>
      <w:r>
        <w:rPr>
          <w:rFonts w:hint="eastAsia" w:ascii="仿宋_GB2312" w:hAnsi="楷体" w:eastAsia="仿宋_GB2312" w:cs="楷体"/>
          <w:sz w:val="32"/>
          <w:szCs w:val="32"/>
          <w:u w:val="single"/>
        </w:rPr>
        <w:t>以上三个指标需上传内部控制信息系统设计文档作为佐证材料。</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四、本年单位内部控制工作的新做法和新成效</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填写本年度单位在建立与实施内部控制的过程中总结出的新的经验与做法，以及在预算业务管理、收支业务管理、政府采购业务管理、国有资产业务管理、建设项目业务管理、合同业务管理等经济业务领域中建立与实施内部控制后取得的新成效。</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五、本年单位内部控制工作的新问题或新挑战</w:t>
      </w:r>
    </w:p>
    <w:p>
      <w:pPr>
        <w:pStyle w:val="21"/>
        <w:tabs>
          <w:tab w:val="left" w:pos="851"/>
        </w:tabs>
        <w:overflowPunct w:val="0"/>
        <w:spacing w:line="580" w:lineRule="exact"/>
        <w:ind w:firstLine="640"/>
        <w:rPr>
          <w:rFonts w:ascii="仿宋_GB2312" w:hAnsi="楷体" w:eastAsia="仿宋_GB2312" w:cs="楷体"/>
          <w:sz w:val="32"/>
          <w:szCs w:val="32"/>
        </w:rPr>
      </w:pPr>
      <w:r>
        <w:rPr>
          <w:rFonts w:hint="eastAsia" w:ascii="仿宋_GB2312" w:hAnsi="楷体" w:eastAsia="仿宋_GB2312" w:cs="楷体"/>
          <w:sz w:val="32"/>
          <w:szCs w:val="32"/>
        </w:rPr>
        <w:t>填写本年度单位在建立与实施内部控制过程中、开展自我评价过程中以及内控工作过程中发现的新问题或遇到的新挑战。本年度纪检、巡视、审计、财政检查等外部检查发现的与本单位预算业务管理、收支业务管理、政府采购业务管理、国有资产业务管理、建设项目业务管理、合同业务管理等经济业务领域相关的内部控制问题，也应一并反映。</w:t>
      </w:r>
    </w:p>
    <w:p>
      <w:pPr>
        <w:pStyle w:val="21"/>
        <w:tabs>
          <w:tab w:val="left" w:pos="851"/>
        </w:tabs>
        <w:overflowPunct w:val="0"/>
        <w:spacing w:line="580" w:lineRule="exact"/>
        <w:ind w:firstLine="643"/>
        <w:rPr>
          <w:rFonts w:ascii="仿宋_GB2312" w:hAnsi="楷体" w:eastAsia="仿宋_GB2312" w:cs="楷体"/>
          <w:b/>
          <w:bCs/>
          <w:sz w:val="32"/>
          <w:szCs w:val="32"/>
        </w:rPr>
      </w:pPr>
      <w:r>
        <w:rPr>
          <w:rFonts w:hint="eastAsia" w:ascii="仿宋_GB2312" w:hAnsi="楷体" w:eastAsia="仿宋_GB2312" w:cs="楷体"/>
          <w:b/>
          <w:bCs/>
          <w:sz w:val="32"/>
          <w:szCs w:val="32"/>
        </w:rPr>
        <w:t>六、对当前行政事业单位内部控制工作的意见或建议</w:t>
      </w:r>
    </w:p>
    <w:p>
      <w:pPr>
        <w:tabs>
          <w:tab w:val="left" w:pos="851"/>
        </w:tabs>
        <w:overflowPunct w:val="0"/>
        <w:spacing w:line="580" w:lineRule="exact"/>
        <w:ind w:firstLine="640" w:firstLineChars="200"/>
        <w:rPr>
          <w:rFonts w:ascii="楷体" w:hAnsi="楷体" w:eastAsia="楷体" w:cs="楷体"/>
          <w:sz w:val="24"/>
        </w:rPr>
      </w:pPr>
      <w:r>
        <w:rPr>
          <w:rFonts w:hint="eastAsia" w:ascii="仿宋_GB2312" w:hAnsi="楷体" w:eastAsia="仿宋_GB2312" w:cs="楷体"/>
          <w:sz w:val="32"/>
          <w:szCs w:val="32"/>
        </w:rPr>
        <w:t>填写基于本年内部控制建设的经验及问题总结，单位对于推进行政事业单位内部控制建设的意见或建议，可以包括但不局限于内部控制建设的组织形式、基本方向、建设难点等内容。</w:t>
      </w:r>
    </w:p>
    <w:sectPr>
      <w:pgSz w:w="11906" w:h="16838"/>
      <w:pgMar w:top="1701" w:right="1474" w:bottom="1701" w:left="1474"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正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正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正黑"/>
    <w:panose1 w:val="02010609030101010101"/>
    <w:charset w:val="86"/>
    <w:family w:val="modern"/>
    <w:pitch w:val="default"/>
    <w:sig w:usb0="00000000" w:usb1="00000000" w:usb2="00000010" w:usb3="00000000" w:csb0="00040000" w:csb1="00000000"/>
  </w:font>
  <w:font w:name="方正小标宋简体">
    <w:altName w:val="文泉驿正黑"/>
    <w:panose1 w:val="03000509000000000000"/>
    <w:charset w:val="86"/>
    <w:family w:val="script"/>
    <w:pitch w:val="default"/>
    <w:sig w:usb0="00000000" w:usb1="00000000" w:usb2="00000010" w:usb3="00000000" w:csb0="00040000" w:csb1="00000000"/>
  </w:font>
  <w:font w:name="华文中宋">
    <w:altName w:val="文泉驿正黑"/>
    <w:panose1 w:val="02010600040101010101"/>
    <w:charset w:val="86"/>
    <w:family w:val="auto"/>
    <w:pitch w:val="default"/>
    <w:sig w:usb0="00000000" w:usb1="00000000" w:usb2="00000010" w:usb3="00000000" w:csb0="0004009F" w:csb1="00000000"/>
  </w:font>
  <w:font w:name="楷体">
    <w:altName w:val="文泉驿正黑"/>
    <w:panose1 w:val="02010609060101010101"/>
    <w:charset w:val="86"/>
    <w:family w:val="modern"/>
    <w:pitch w:val="default"/>
    <w:sig w:usb0="00000000" w:usb1="00000000" w:usb2="00000016" w:usb3="00000000" w:csb0="00040001" w:csb1="00000000"/>
  </w:font>
  <w:font w:name="楷体_GB2312">
    <w:altName w:val="文泉驿正黑"/>
    <w:panose1 w:val="02010609030101010101"/>
    <w:charset w:val="86"/>
    <w:family w:val="modern"/>
    <w:pitch w:val="default"/>
    <w:sig w:usb0="00000000" w:usb1="00000000" w:usb2="00000010" w:usb3="00000000" w:csb0="00040000"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3F"/>
    <w:rsid w:val="000002FE"/>
    <w:rsid w:val="0000053C"/>
    <w:rsid w:val="00001795"/>
    <w:rsid w:val="0000188E"/>
    <w:rsid w:val="00001ADD"/>
    <w:rsid w:val="00002BDB"/>
    <w:rsid w:val="00004163"/>
    <w:rsid w:val="00005842"/>
    <w:rsid w:val="000069F8"/>
    <w:rsid w:val="0000718E"/>
    <w:rsid w:val="0001119A"/>
    <w:rsid w:val="00011DEB"/>
    <w:rsid w:val="000134C4"/>
    <w:rsid w:val="00013587"/>
    <w:rsid w:val="000135C8"/>
    <w:rsid w:val="000140D2"/>
    <w:rsid w:val="0001604A"/>
    <w:rsid w:val="00017210"/>
    <w:rsid w:val="00020F9B"/>
    <w:rsid w:val="00021969"/>
    <w:rsid w:val="00022308"/>
    <w:rsid w:val="000223EB"/>
    <w:rsid w:val="00023B02"/>
    <w:rsid w:val="00024002"/>
    <w:rsid w:val="00026468"/>
    <w:rsid w:val="000265D5"/>
    <w:rsid w:val="00031B1B"/>
    <w:rsid w:val="00032A61"/>
    <w:rsid w:val="00035024"/>
    <w:rsid w:val="0003555F"/>
    <w:rsid w:val="00035B8E"/>
    <w:rsid w:val="00040BD3"/>
    <w:rsid w:val="00040FA0"/>
    <w:rsid w:val="0004186D"/>
    <w:rsid w:val="00041E2A"/>
    <w:rsid w:val="00042E86"/>
    <w:rsid w:val="0004300B"/>
    <w:rsid w:val="00043188"/>
    <w:rsid w:val="000448FA"/>
    <w:rsid w:val="00045768"/>
    <w:rsid w:val="00045A15"/>
    <w:rsid w:val="000471BC"/>
    <w:rsid w:val="00050853"/>
    <w:rsid w:val="000517E5"/>
    <w:rsid w:val="00051AF3"/>
    <w:rsid w:val="00052496"/>
    <w:rsid w:val="00053B53"/>
    <w:rsid w:val="000550B2"/>
    <w:rsid w:val="0005513B"/>
    <w:rsid w:val="00055FAC"/>
    <w:rsid w:val="00064049"/>
    <w:rsid w:val="00064A26"/>
    <w:rsid w:val="00065F64"/>
    <w:rsid w:val="000704A2"/>
    <w:rsid w:val="000736D9"/>
    <w:rsid w:val="000744CA"/>
    <w:rsid w:val="000762C7"/>
    <w:rsid w:val="00076C6B"/>
    <w:rsid w:val="00080A90"/>
    <w:rsid w:val="00081458"/>
    <w:rsid w:val="000829DB"/>
    <w:rsid w:val="00082A01"/>
    <w:rsid w:val="000835E6"/>
    <w:rsid w:val="00085A6C"/>
    <w:rsid w:val="00091127"/>
    <w:rsid w:val="0009302D"/>
    <w:rsid w:val="00094A2F"/>
    <w:rsid w:val="00094BD1"/>
    <w:rsid w:val="000A00B5"/>
    <w:rsid w:val="000A0136"/>
    <w:rsid w:val="000A3678"/>
    <w:rsid w:val="000A39CD"/>
    <w:rsid w:val="000A40FB"/>
    <w:rsid w:val="000A44DF"/>
    <w:rsid w:val="000A6AF9"/>
    <w:rsid w:val="000A6FAE"/>
    <w:rsid w:val="000A7618"/>
    <w:rsid w:val="000A7B0A"/>
    <w:rsid w:val="000B1BC8"/>
    <w:rsid w:val="000B283F"/>
    <w:rsid w:val="000B2867"/>
    <w:rsid w:val="000B3500"/>
    <w:rsid w:val="000B3CCA"/>
    <w:rsid w:val="000B7CA9"/>
    <w:rsid w:val="000C3BAF"/>
    <w:rsid w:val="000C6C8E"/>
    <w:rsid w:val="000C7874"/>
    <w:rsid w:val="000C7A72"/>
    <w:rsid w:val="000D07EE"/>
    <w:rsid w:val="000D286E"/>
    <w:rsid w:val="000D2963"/>
    <w:rsid w:val="000D506C"/>
    <w:rsid w:val="000D53D4"/>
    <w:rsid w:val="000D5640"/>
    <w:rsid w:val="000D666C"/>
    <w:rsid w:val="000E05E6"/>
    <w:rsid w:val="000E18D7"/>
    <w:rsid w:val="000E3219"/>
    <w:rsid w:val="000E4E65"/>
    <w:rsid w:val="000E6978"/>
    <w:rsid w:val="000F07B1"/>
    <w:rsid w:val="000F190E"/>
    <w:rsid w:val="000F34D5"/>
    <w:rsid w:val="000F3ADF"/>
    <w:rsid w:val="000F49C3"/>
    <w:rsid w:val="000F4E8E"/>
    <w:rsid w:val="000F6B46"/>
    <w:rsid w:val="001011FE"/>
    <w:rsid w:val="001012BA"/>
    <w:rsid w:val="001019A9"/>
    <w:rsid w:val="00101E42"/>
    <w:rsid w:val="001032BD"/>
    <w:rsid w:val="0010498F"/>
    <w:rsid w:val="00105104"/>
    <w:rsid w:val="001058F4"/>
    <w:rsid w:val="00106978"/>
    <w:rsid w:val="00106CC3"/>
    <w:rsid w:val="0011132A"/>
    <w:rsid w:val="00112CEA"/>
    <w:rsid w:val="00112D65"/>
    <w:rsid w:val="00116824"/>
    <w:rsid w:val="00120244"/>
    <w:rsid w:val="0012111A"/>
    <w:rsid w:val="001225F4"/>
    <w:rsid w:val="00122738"/>
    <w:rsid w:val="00123E29"/>
    <w:rsid w:val="00124BAA"/>
    <w:rsid w:val="00125F80"/>
    <w:rsid w:val="0012611B"/>
    <w:rsid w:val="00126320"/>
    <w:rsid w:val="0012717E"/>
    <w:rsid w:val="00127443"/>
    <w:rsid w:val="00127DB5"/>
    <w:rsid w:val="00127E10"/>
    <w:rsid w:val="00130702"/>
    <w:rsid w:val="00132D4F"/>
    <w:rsid w:val="0013385A"/>
    <w:rsid w:val="00134211"/>
    <w:rsid w:val="00134222"/>
    <w:rsid w:val="00134C9C"/>
    <w:rsid w:val="00135CDA"/>
    <w:rsid w:val="00136A7C"/>
    <w:rsid w:val="00136BC3"/>
    <w:rsid w:val="001402D1"/>
    <w:rsid w:val="001403F8"/>
    <w:rsid w:val="00142E34"/>
    <w:rsid w:val="00144417"/>
    <w:rsid w:val="001452C0"/>
    <w:rsid w:val="00145546"/>
    <w:rsid w:val="00145689"/>
    <w:rsid w:val="00146B4C"/>
    <w:rsid w:val="00147D40"/>
    <w:rsid w:val="0015016B"/>
    <w:rsid w:val="00151100"/>
    <w:rsid w:val="00154698"/>
    <w:rsid w:val="00154B7E"/>
    <w:rsid w:val="00155EDD"/>
    <w:rsid w:val="001612C8"/>
    <w:rsid w:val="001629B5"/>
    <w:rsid w:val="00163130"/>
    <w:rsid w:val="00166AB3"/>
    <w:rsid w:val="00166B85"/>
    <w:rsid w:val="0016742E"/>
    <w:rsid w:val="00167E15"/>
    <w:rsid w:val="00167EE4"/>
    <w:rsid w:val="00172AC4"/>
    <w:rsid w:val="00174007"/>
    <w:rsid w:val="00175EE7"/>
    <w:rsid w:val="001767FF"/>
    <w:rsid w:val="00176F2B"/>
    <w:rsid w:val="0018014F"/>
    <w:rsid w:val="00181778"/>
    <w:rsid w:val="00184B7F"/>
    <w:rsid w:val="00186B78"/>
    <w:rsid w:val="0018717B"/>
    <w:rsid w:val="0018798D"/>
    <w:rsid w:val="001918B0"/>
    <w:rsid w:val="00192A7A"/>
    <w:rsid w:val="00193B98"/>
    <w:rsid w:val="0019426A"/>
    <w:rsid w:val="00194C68"/>
    <w:rsid w:val="00197862"/>
    <w:rsid w:val="00197A1A"/>
    <w:rsid w:val="001A07E6"/>
    <w:rsid w:val="001A1A18"/>
    <w:rsid w:val="001A2302"/>
    <w:rsid w:val="001A24C0"/>
    <w:rsid w:val="001A2EED"/>
    <w:rsid w:val="001A3408"/>
    <w:rsid w:val="001A5B21"/>
    <w:rsid w:val="001A64BF"/>
    <w:rsid w:val="001A779E"/>
    <w:rsid w:val="001B13DE"/>
    <w:rsid w:val="001B3985"/>
    <w:rsid w:val="001B3EEC"/>
    <w:rsid w:val="001B4567"/>
    <w:rsid w:val="001B4F71"/>
    <w:rsid w:val="001B5091"/>
    <w:rsid w:val="001B6792"/>
    <w:rsid w:val="001B6C4C"/>
    <w:rsid w:val="001C1D2F"/>
    <w:rsid w:val="001C1F48"/>
    <w:rsid w:val="001C226E"/>
    <w:rsid w:val="001C255A"/>
    <w:rsid w:val="001C34F1"/>
    <w:rsid w:val="001C62AF"/>
    <w:rsid w:val="001D3977"/>
    <w:rsid w:val="001D3A15"/>
    <w:rsid w:val="001D4CEB"/>
    <w:rsid w:val="001D69EE"/>
    <w:rsid w:val="001E3A28"/>
    <w:rsid w:val="001E6257"/>
    <w:rsid w:val="001E6A53"/>
    <w:rsid w:val="001E7466"/>
    <w:rsid w:val="001F2213"/>
    <w:rsid w:val="001F5BB6"/>
    <w:rsid w:val="001F7D18"/>
    <w:rsid w:val="001F7D51"/>
    <w:rsid w:val="00200BDF"/>
    <w:rsid w:val="00201A11"/>
    <w:rsid w:val="00201DA3"/>
    <w:rsid w:val="0020338A"/>
    <w:rsid w:val="00203B24"/>
    <w:rsid w:val="00205FAB"/>
    <w:rsid w:val="00206CEE"/>
    <w:rsid w:val="00207C70"/>
    <w:rsid w:val="002101CE"/>
    <w:rsid w:val="0021105D"/>
    <w:rsid w:val="002120BF"/>
    <w:rsid w:val="00212A50"/>
    <w:rsid w:val="00213FDC"/>
    <w:rsid w:val="002151C9"/>
    <w:rsid w:val="0021615F"/>
    <w:rsid w:val="002167A8"/>
    <w:rsid w:val="002168D0"/>
    <w:rsid w:val="002205EE"/>
    <w:rsid w:val="0022065D"/>
    <w:rsid w:val="00220674"/>
    <w:rsid w:val="00220934"/>
    <w:rsid w:val="00220A85"/>
    <w:rsid w:val="002217D6"/>
    <w:rsid w:val="00221A29"/>
    <w:rsid w:val="00222022"/>
    <w:rsid w:val="002229FF"/>
    <w:rsid w:val="00223282"/>
    <w:rsid w:val="0022477A"/>
    <w:rsid w:val="002249D4"/>
    <w:rsid w:val="00224FAE"/>
    <w:rsid w:val="002255B9"/>
    <w:rsid w:val="002264B2"/>
    <w:rsid w:val="00227977"/>
    <w:rsid w:val="002309F2"/>
    <w:rsid w:val="00231A9E"/>
    <w:rsid w:val="0023333B"/>
    <w:rsid w:val="00233B91"/>
    <w:rsid w:val="0023495D"/>
    <w:rsid w:val="002351A6"/>
    <w:rsid w:val="002359BE"/>
    <w:rsid w:val="002363EB"/>
    <w:rsid w:val="00236914"/>
    <w:rsid w:val="00236B4D"/>
    <w:rsid w:val="002417E5"/>
    <w:rsid w:val="0024403F"/>
    <w:rsid w:val="002440C0"/>
    <w:rsid w:val="00245608"/>
    <w:rsid w:val="002457C8"/>
    <w:rsid w:val="00245B8E"/>
    <w:rsid w:val="00246FEA"/>
    <w:rsid w:val="002474FA"/>
    <w:rsid w:val="00247637"/>
    <w:rsid w:val="00247692"/>
    <w:rsid w:val="00247ABC"/>
    <w:rsid w:val="00247FBF"/>
    <w:rsid w:val="002507D2"/>
    <w:rsid w:val="00250BDF"/>
    <w:rsid w:val="0025111F"/>
    <w:rsid w:val="00253553"/>
    <w:rsid w:val="002536A5"/>
    <w:rsid w:val="002546C3"/>
    <w:rsid w:val="00254919"/>
    <w:rsid w:val="00254A01"/>
    <w:rsid w:val="00255A99"/>
    <w:rsid w:val="00256029"/>
    <w:rsid w:val="0025662F"/>
    <w:rsid w:val="00256CE6"/>
    <w:rsid w:val="0025718B"/>
    <w:rsid w:val="00257B98"/>
    <w:rsid w:val="00257F10"/>
    <w:rsid w:val="0026086F"/>
    <w:rsid w:val="0026166A"/>
    <w:rsid w:val="0026175D"/>
    <w:rsid w:val="002621E2"/>
    <w:rsid w:val="0026644C"/>
    <w:rsid w:val="00267109"/>
    <w:rsid w:val="002674B0"/>
    <w:rsid w:val="00267983"/>
    <w:rsid w:val="00274037"/>
    <w:rsid w:val="00276731"/>
    <w:rsid w:val="00276E69"/>
    <w:rsid w:val="00284E02"/>
    <w:rsid w:val="00287076"/>
    <w:rsid w:val="00287374"/>
    <w:rsid w:val="00287B12"/>
    <w:rsid w:val="0029014A"/>
    <w:rsid w:val="002903AC"/>
    <w:rsid w:val="00292645"/>
    <w:rsid w:val="002940D1"/>
    <w:rsid w:val="00294A57"/>
    <w:rsid w:val="00294BAF"/>
    <w:rsid w:val="00294DC1"/>
    <w:rsid w:val="0029679E"/>
    <w:rsid w:val="00297071"/>
    <w:rsid w:val="002A02CA"/>
    <w:rsid w:val="002A0A66"/>
    <w:rsid w:val="002A6569"/>
    <w:rsid w:val="002A7B7B"/>
    <w:rsid w:val="002B0765"/>
    <w:rsid w:val="002B0C38"/>
    <w:rsid w:val="002B317D"/>
    <w:rsid w:val="002B3839"/>
    <w:rsid w:val="002B5724"/>
    <w:rsid w:val="002C066A"/>
    <w:rsid w:val="002C1C0F"/>
    <w:rsid w:val="002C1DA3"/>
    <w:rsid w:val="002C2C95"/>
    <w:rsid w:val="002C361C"/>
    <w:rsid w:val="002C3B5E"/>
    <w:rsid w:val="002C44C2"/>
    <w:rsid w:val="002C5F40"/>
    <w:rsid w:val="002C67BA"/>
    <w:rsid w:val="002C6815"/>
    <w:rsid w:val="002C72BD"/>
    <w:rsid w:val="002C750D"/>
    <w:rsid w:val="002C7A35"/>
    <w:rsid w:val="002D1657"/>
    <w:rsid w:val="002D59DA"/>
    <w:rsid w:val="002D611F"/>
    <w:rsid w:val="002D656E"/>
    <w:rsid w:val="002D700E"/>
    <w:rsid w:val="002D7C8F"/>
    <w:rsid w:val="002E1C22"/>
    <w:rsid w:val="002E20E3"/>
    <w:rsid w:val="002E24E0"/>
    <w:rsid w:val="002E3BCE"/>
    <w:rsid w:val="002E422C"/>
    <w:rsid w:val="002E4267"/>
    <w:rsid w:val="002E53E5"/>
    <w:rsid w:val="002E6CDA"/>
    <w:rsid w:val="002F149F"/>
    <w:rsid w:val="002F5922"/>
    <w:rsid w:val="002F5DF8"/>
    <w:rsid w:val="002F67B9"/>
    <w:rsid w:val="00300BD2"/>
    <w:rsid w:val="00301B9A"/>
    <w:rsid w:val="003032E3"/>
    <w:rsid w:val="003034E5"/>
    <w:rsid w:val="003048DE"/>
    <w:rsid w:val="00307A1E"/>
    <w:rsid w:val="00310BF0"/>
    <w:rsid w:val="00311A17"/>
    <w:rsid w:val="00312BD4"/>
    <w:rsid w:val="003133F4"/>
    <w:rsid w:val="0031396B"/>
    <w:rsid w:val="00313DCB"/>
    <w:rsid w:val="00314C55"/>
    <w:rsid w:val="00315086"/>
    <w:rsid w:val="00316401"/>
    <w:rsid w:val="00320F71"/>
    <w:rsid w:val="00321FD5"/>
    <w:rsid w:val="003225D0"/>
    <w:rsid w:val="00323FB7"/>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654D"/>
    <w:rsid w:val="003572DE"/>
    <w:rsid w:val="0035745F"/>
    <w:rsid w:val="00360122"/>
    <w:rsid w:val="00360184"/>
    <w:rsid w:val="00360240"/>
    <w:rsid w:val="0036239D"/>
    <w:rsid w:val="0036448F"/>
    <w:rsid w:val="003651CD"/>
    <w:rsid w:val="003652F7"/>
    <w:rsid w:val="003667C0"/>
    <w:rsid w:val="003676F3"/>
    <w:rsid w:val="00371325"/>
    <w:rsid w:val="00371D4E"/>
    <w:rsid w:val="00372056"/>
    <w:rsid w:val="00374419"/>
    <w:rsid w:val="00374A98"/>
    <w:rsid w:val="003755CD"/>
    <w:rsid w:val="0037590A"/>
    <w:rsid w:val="0037616B"/>
    <w:rsid w:val="00376FC6"/>
    <w:rsid w:val="00377396"/>
    <w:rsid w:val="00382555"/>
    <w:rsid w:val="0038309E"/>
    <w:rsid w:val="00383D19"/>
    <w:rsid w:val="00390C48"/>
    <w:rsid w:val="00391F92"/>
    <w:rsid w:val="003922E0"/>
    <w:rsid w:val="00392DF1"/>
    <w:rsid w:val="003933E0"/>
    <w:rsid w:val="00396E28"/>
    <w:rsid w:val="00396F7A"/>
    <w:rsid w:val="003972FD"/>
    <w:rsid w:val="003A13FA"/>
    <w:rsid w:val="003A204B"/>
    <w:rsid w:val="003A25DE"/>
    <w:rsid w:val="003A30FA"/>
    <w:rsid w:val="003A47D8"/>
    <w:rsid w:val="003A4C0E"/>
    <w:rsid w:val="003A744E"/>
    <w:rsid w:val="003A7E00"/>
    <w:rsid w:val="003B0531"/>
    <w:rsid w:val="003B0535"/>
    <w:rsid w:val="003B085C"/>
    <w:rsid w:val="003B1410"/>
    <w:rsid w:val="003B2B6A"/>
    <w:rsid w:val="003B31E8"/>
    <w:rsid w:val="003B3DBC"/>
    <w:rsid w:val="003B443B"/>
    <w:rsid w:val="003B5674"/>
    <w:rsid w:val="003B59D8"/>
    <w:rsid w:val="003B5F2E"/>
    <w:rsid w:val="003B7F98"/>
    <w:rsid w:val="003C05A8"/>
    <w:rsid w:val="003C1827"/>
    <w:rsid w:val="003C3113"/>
    <w:rsid w:val="003C338A"/>
    <w:rsid w:val="003C4C0E"/>
    <w:rsid w:val="003C4C90"/>
    <w:rsid w:val="003C4CBF"/>
    <w:rsid w:val="003C5267"/>
    <w:rsid w:val="003C591F"/>
    <w:rsid w:val="003C5C63"/>
    <w:rsid w:val="003C6787"/>
    <w:rsid w:val="003C6D95"/>
    <w:rsid w:val="003C7D0B"/>
    <w:rsid w:val="003D19BA"/>
    <w:rsid w:val="003D3235"/>
    <w:rsid w:val="003D4E47"/>
    <w:rsid w:val="003D4F88"/>
    <w:rsid w:val="003D5810"/>
    <w:rsid w:val="003D73E5"/>
    <w:rsid w:val="003D7E63"/>
    <w:rsid w:val="003D7ECD"/>
    <w:rsid w:val="003E0479"/>
    <w:rsid w:val="003E0879"/>
    <w:rsid w:val="003E41FB"/>
    <w:rsid w:val="003E4A3F"/>
    <w:rsid w:val="003E5500"/>
    <w:rsid w:val="003E6718"/>
    <w:rsid w:val="003E71E6"/>
    <w:rsid w:val="003E724D"/>
    <w:rsid w:val="003E7B92"/>
    <w:rsid w:val="003F12A6"/>
    <w:rsid w:val="003F2AE7"/>
    <w:rsid w:val="003F4493"/>
    <w:rsid w:val="003F60F8"/>
    <w:rsid w:val="003F6AB8"/>
    <w:rsid w:val="003F74AB"/>
    <w:rsid w:val="003F7991"/>
    <w:rsid w:val="0040132B"/>
    <w:rsid w:val="00401359"/>
    <w:rsid w:val="004021D4"/>
    <w:rsid w:val="004026D8"/>
    <w:rsid w:val="0040274D"/>
    <w:rsid w:val="00402A9E"/>
    <w:rsid w:val="00405129"/>
    <w:rsid w:val="00406354"/>
    <w:rsid w:val="00406FA4"/>
    <w:rsid w:val="00407A22"/>
    <w:rsid w:val="00411B40"/>
    <w:rsid w:val="00412350"/>
    <w:rsid w:val="004123B4"/>
    <w:rsid w:val="00414EFE"/>
    <w:rsid w:val="004157FE"/>
    <w:rsid w:val="00417BBE"/>
    <w:rsid w:val="00417FAD"/>
    <w:rsid w:val="00420C96"/>
    <w:rsid w:val="00420F8C"/>
    <w:rsid w:val="00421028"/>
    <w:rsid w:val="004225AF"/>
    <w:rsid w:val="00422F77"/>
    <w:rsid w:val="0042304F"/>
    <w:rsid w:val="0042337D"/>
    <w:rsid w:val="00424F7A"/>
    <w:rsid w:val="004252B2"/>
    <w:rsid w:val="00426783"/>
    <w:rsid w:val="00430359"/>
    <w:rsid w:val="00430BB2"/>
    <w:rsid w:val="00431921"/>
    <w:rsid w:val="004332A7"/>
    <w:rsid w:val="004366F3"/>
    <w:rsid w:val="00442070"/>
    <w:rsid w:val="004428BD"/>
    <w:rsid w:val="004449C4"/>
    <w:rsid w:val="00445ED1"/>
    <w:rsid w:val="004466C2"/>
    <w:rsid w:val="00446BBC"/>
    <w:rsid w:val="00446DBB"/>
    <w:rsid w:val="00446E77"/>
    <w:rsid w:val="00447B84"/>
    <w:rsid w:val="00447DCF"/>
    <w:rsid w:val="004516BD"/>
    <w:rsid w:val="00451A4F"/>
    <w:rsid w:val="00456DE2"/>
    <w:rsid w:val="004627D8"/>
    <w:rsid w:val="004628AE"/>
    <w:rsid w:val="0046299C"/>
    <w:rsid w:val="00462E1E"/>
    <w:rsid w:val="00462E4E"/>
    <w:rsid w:val="0046400E"/>
    <w:rsid w:val="004649F9"/>
    <w:rsid w:val="00466815"/>
    <w:rsid w:val="00467A5F"/>
    <w:rsid w:val="00467E35"/>
    <w:rsid w:val="004713C9"/>
    <w:rsid w:val="00471516"/>
    <w:rsid w:val="00471C2C"/>
    <w:rsid w:val="00471DBD"/>
    <w:rsid w:val="00471F0E"/>
    <w:rsid w:val="00472D92"/>
    <w:rsid w:val="004742BE"/>
    <w:rsid w:val="00475879"/>
    <w:rsid w:val="00475D5D"/>
    <w:rsid w:val="004764A3"/>
    <w:rsid w:val="004767D0"/>
    <w:rsid w:val="00477167"/>
    <w:rsid w:val="00480EC7"/>
    <w:rsid w:val="0048178E"/>
    <w:rsid w:val="00481A84"/>
    <w:rsid w:val="004855CB"/>
    <w:rsid w:val="00485FD0"/>
    <w:rsid w:val="004878CC"/>
    <w:rsid w:val="00490B2F"/>
    <w:rsid w:val="0049194D"/>
    <w:rsid w:val="0049358B"/>
    <w:rsid w:val="00494AA3"/>
    <w:rsid w:val="00495D9A"/>
    <w:rsid w:val="004A006D"/>
    <w:rsid w:val="004A088E"/>
    <w:rsid w:val="004A16B2"/>
    <w:rsid w:val="004A2D6E"/>
    <w:rsid w:val="004A30A2"/>
    <w:rsid w:val="004A3322"/>
    <w:rsid w:val="004A3993"/>
    <w:rsid w:val="004A5544"/>
    <w:rsid w:val="004A6E7D"/>
    <w:rsid w:val="004B016C"/>
    <w:rsid w:val="004B0174"/>
    <w:rsid w:val="004B05C1"/>
    <w:rsid w:val="004B067D"/>
    <w:rsid w:val="004B1B64"/>
    <w:rsid w:val="004B6D1C"/>
    <w:rsid w:val="004B7A2C"/>
    <w:rsid w:val="004C0C9A"/>
    <w:rsid w:val="004C21EE"/>
    <w:rsid w:val="004C23DB"/>
    <w:rsid w:val="004C4276"/>
    <w:rsid w:val="004C5180"/>
    <w:rsid w:val="004D0675"/>
    <w:rsid w:val="004D0C60"/>
    <w:rsid w:val="004D28B3"/>
    <w:rsid w:val="004D52DF"/>
    <w:rsid w:val="004D567F"/>
    <w:rsid w:val="004D67B7"/>
    <w:rsid w:val="004D6B6C"/>
    <w:rsid w:val="004D6DAE"/>
    <w:rsid w:val="004E2A67"/>
    <w:rsid w:val="004E3448"/>
    <w:rsid w:val="004E4972"/>
    <w:rsid w:val="004E682A"/>
    <w:rsid w:val="004E7A61"/>
    <w:rsid w:val="004F02CB"/>
    <w:rsid w:val="004F30DB"/>
    <w:rsid w:val="004F6648"/>
    <w:rsid w:val="0050059A"/>
    <w:rsid w:val="00500860"/>
    <w:rsid w:val="00505849"/>
    <w:rsid w:val="005072B8"/>
    <w:rsid w:val="005101AF"/>
    <w:rsid w:val="00512B6C"/>
    <w:rsid w:val="00513EFF"/>
    <w:rsid w:val="00514A9F"/>
    <w:rsid w:val="00514B1A"/>
    <w:rsid w:val="00514CC6"/>
    <w:rsid w:val="0051705A"/>
    <w:rsid w:val="0051757F"/>
    <w:rsid w:val="00521147"/>
    <w:rsid w:val="00523371"/>
    <w:rsid w:val="00524850"/>
    <w:rsid w:val="00524D94"/>
    <w:rsid w:val="00525600"/>
    <w:rsid w:val="0052650D"/>
    <w:rsid w:val="005274DD"/>
    <w:rsid w:val="00527CC2"/>
    <w:rsid w:val="00532969"/>
    <w:rsid w:val="00533245"/>
    <w:rsid w:val="00533B10"/>
    <w:rsid w:val="00534385"/>
    <w:rsid w:val="00541B17"/>
    <w:rsid w:val="00541BD4"/>
    <w:rsid w:val="00544207"/>
    <w:rsid w:val="00544BD9"/>
    <w:rsid w:val="00545115"/>
    <w:rsid w:val="00546726"/>
    <w:rsid w:val="0054679C"/>
    <w:rsid w:val="005468AA"/>
    <w:rsid w:val="005475CC"/>
    <w:rsid w:val="00550026"/>
    <w:rsid w:val="005520EA"/>
    <w:rsid w:val="00552B12"/>
    <w:rsid w:val="0055399B"/>
    <w:rsid w:val="00553EDC"/>
    <w:rsid w:val="005552F8"/>
    <w:rsid w:val="00555932"/>
    <w:rsid w:val="0055732A"/>
    <w:rsid w:val="00557C40"/>
    <w:rsid w:val="00560222"/>
    <w:rsid w:val="005605D7"/>
    <w:rsid w:val="00561E36"/>
    <w:rsid w:val="00563FEC"/>
    <w:rsid w:val="00564687"/>
    <w:rsid w:val="0056478A"/>
    <w:rsid w:val="00564F10"/>
    <w:rsid w:val="0056587B"/>
    <w:rsid w:val="00566280"/>
    <w:rsid w:val="0056765B"/>
    <w:rsid w:val="005679C1"/>
    <w:rsid w:val="00572952"/>
    <w:rsid w:val="00572B07"/>
    <w:rsid w:val="00573670"/>
    <w:rsid w:val="00574CAA"/>
    <w:rsid w:val="00580DA7"/>
    <w:rsid w:val="00581AD6"/>
    <w:rsid w:val="00583FA6"/>
    <w:rsid w:val="0058426F"/>
    <w:rsid w:val="00584375"/>
    <w:rsid w:val="005857CE"/>
    <w:rsid w:val="005914F2"/>
    <w:rsid w:val="005941FD"/>
    <w:rsid w:val="00595A21"/>
    <w:rsid w:val="005A1B73"/>
    <w:rsid w:val="005A2142"/>
    <w:rsid w:val="005A23C6"/>
    <w:rsid w:val="005A30F6"/>
    <w:rsid w:val="005A37E9"/>
    <w:rsid w:val="005A3FCD"/>
    <w:rsid w:val="005A5278"/>
    <w:rsid w:val="005A551E"/>
    <w:rsid w:val="005A7084"/>
    <w:rsid w:val="005A70A5"/>
    <w:rsid w:val="005A7242"/>
    <w:rsid w:val="005B0665"/>
    <w:rsid w:val="005B08BC"/>
    <w:rsid w:val="005B2208"/>
    <w:rsid w:val="005B2CA4"/>
    <w:rsid w:val="005B3CC1"/>
    <w:rsid w:val="005B519E"/>
    <w:rsid w:val="005B51DF"/>
    <w:rsid w:val="005B5E80"/>
    <w:rsid w:val="005B77FF"/>
    <w:rsid w:val="005B78FF"/>
    <w:rsid w:val="005C0D64"/>
    <w:rsid w:val="005C1F5D"/>
    <w:rsid w:val="005C5012"/>
    <w:rsid w:val="005C7867"/>
    <w:rsid w:val="005D08EA"/>
    <w:rsid w:val="005D1145"/>
    <w:rsid w:val="005D241A"/>
    <w:rsid w:val="005E045A"/>
    <w:rsid w:val="005E2C89"/>
    <w:rsid w:val="005E4104"/>
    <w:rsid w:val="005E410C"/>
    <w:rsid w:val="005E4EFC"/>
    <w:rsid w:val="005E7980"/>
    <w:rsid w:val="005F039E"/>
    <w:rsid w:val="005F3048"/>
    <w:rsid w:val="005F33E1"/>
    <w:rsid w:val="005F35A0"/>
    <w:rsid w:val="005F399D"/>
    <w:rsid w:val="005F5A94"/>
    <w:rsid w:val="005F5F58"/>
    <w:rsid w:val="005F639E"/>
    <w:rsid w:val="005F676E"/>
    <w:rsid w:val="005F6B9C"/>
    <w:rsid w:val="005F6E6B"/>
    <w:rsid w:val="005F6F22"/>
    <w:rsid w:val="00600C87"/>
    <w:rsid w:val="00601FD1"/>
    <w:rsid w:val="00603172"/>
    <w:rsid w:val="006031D0"/>
    <w:rsid w:val="00603486"/>
    <w:rsid w:val="00605999"/>
    <w:rsid w:val="00605C34"/>
    <w:rsid w:val="00605CF4"/>
    <w:rsid w:val="00607DA4"/>
    <w:rsid w:val="00610E9B"/>
    <w:rsid w:val="006130E4"/>
    <w:rsid w:val="00616736"/>
    <w:rsid w:val="00616843"/>
    <w:rsid w:val="00616E06"/>
    <w:rsid w:val="006176F2"/>
    <w:rsid w:val="00617DC4"/>
    <w:rsid w:val="00623EA8"/>
    <w:rsid w:val="006251A1"/>
    <w:rsid w:val="00627B6B"/>
    <w:rsid w:val="0063070F"/>
    <w:rsid w:val="00631FE2"/>
    <w:rsid w:val="0063377E"/>
    <w:rsid w:val="00641068"/>
    <w:rsid w:val="00641770"/>
    <w:rsid w:val="00641F83"/>
    <w:rsid w:val="00643630"/>
    <w:rsid w:val="00646B01"/>
    <w:rsid w:val="00647821"/>
    <w:rsid w:val="00650391"/>
    <w:rsid w:val="00651F3B"/>
    <w:rsid w:val="0065218B"/>
    <w:rsid w:val="00653315"/>
    <w:rsid w:val="006551A0"/>
    <w:rsid w:val="00655B3F"/>
    <w:rsid w:val="006616EE"/>
    <w:rsid w:val="00661A7C"/>
    <w:rsid w:val="00661CBB"/>
    <w:rsid w:val="00663B91"/>
    <w:rsid w:val="006642FA"/>
    <w:rsid w:val="0066498B"/>
    <w:rsid w:val="00666050"/>
    <w:rsid w:val="00671D30"/>
    <w:rsid w:val="00672484"/>
    <w:rsid w:val="00673ECD"/>
    <w:rsid w:val="0067526C"/>
    <w:rsid w:val="00676DA7"/>
    <w:rsid w:val="006777C7"/>
    <w:rsid w:val="00677B54"/>
    <w:rsid w:val="00680BCC"/>
    <w:rsid w:val="00680C02"/>
    <w:rsid w:val="00680F22"/>
    <w:rsid w:val="006814C7"/>
    <w:rsid w:val="00682861"/>
    <w:rsid w:val="00683FF2"/>
    <w:rsid w:val="006868A0"/>
    <w:rsid w:val="00687B01"/>
    <w:rsid w:val="00690C7A"/>
    <w:rsid w:val="0069289D"/>
    <w:rsid w:val="00692E5A"/>
    <w:rsid w:val="006940BE"/>
    <w:rsid w:val="00696AE3"/>
    <w:rsid w:val="00697226"/>
    <w:rsid w:val="006A03DD"/>
    <w:rsid w:val="006A04F8"/>
    <w:rsid w:val="006A2D76"/>
    <w:rsid w:val="006A3D1B"/>
    <w:rsid w:val="006A54F5"/>
    <w:rsid w:val="006A6EBC"/>
    <w:rsid w:val="006A7411"/>
    <w:rsid w:val="006B13E8"/>
    <w:rsid w:val="006B2761"/>
    <w:rsid w:val="006B423F"/>
    <w:rsid w:val="006B5020"/>
    <w:rsid w:val="006B5501"/>
    <w:rsid w:val="006B697D"/>
    <w:rsid w:val="006B7971"/>
    <w:rsid w:val="006B79C5"/>
    <w:rsid w:val="006C0117"/>
    <w:rsid w:val="006C3886"/>
    <w:rsid w:val="006C6994"/>
    <w:rsid w:val="006D0A33"/>
    <w:rsid w:val="006D4450"/>
    <w:rsid w:val="006D4FD1"/>
    <w:rsid w:val="006D5D8C"/>
    <w:rsid w:val="006D69F7"/>
    <w:rsid w:val="006E0973"/>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366F"/>
    <w:rsid w:val="007050AB"/>
    <w:rsid w:val="0070679A"/>
    <w:rsid w:val="00707C14"/>
    <w:rsid w:val="00711D92"/>
    <w:rsid w:val="00711F4D"/>
    <w:rsid w:val="00712577"/>
    <w:rsid w:val="0071386C"/>
    <w:rsid w:val="00713A8C"/>
    <w:rsid w:val="0071587D"/>
    <w:rsid w:val="00717125"/>
    <w:rsid w:val="007226F5"/>
    <w:rsid w:val="007231DC"/>
    <w:rsid w:val="00724140"/>
    <w:rsid w:val="0072458B"/>
    <w:rsid w:val="00724D88"/>
    <w:rsid w:val="007251A4"/>
    <w:rsid w:val="00726166"/>
    <w:rsid w:val="00726253"/>
    <w:rsid w:val="00727AFC"/>
    <w:rsid w:val="00730561"/>
    <w:rsid w:val="00732AD0"/>
    <w:rsid w:val="007365B6"/>
    <w:rsid w:val="00740B0A"/>
    <w:rsid w:val="00740CAF"/>
    <w:rsid w:val="0074136E"/>
    <w:rsid w:val="0074199E"/>
    <w:rsid w:val="00741EFB"/>
    <w:rsid w:val="00742A00"/>
    <w:rsid w:val="007431E3"/>
    <w:rsid w:val="0074471F"/>
    <w:rsid w:val="00745349"/>
    <w:rsid w:val="00746416"/>
    <w:rsid w:val="00750356"/>
    <w:rsid w:val="00750B0F"/>
    <w:rsid w:val="007510D4"/>
    <w:rsid w:val="00752181"/>
    <w:rsid w:val="007522F6"/>
    <w:rsid w:val="00753A1F"/>
    <w:rsid w:val="00754413"/>
    <w:rsid w:val="0075529E"/>
    <w:rsid w:val="007604BB"/>
    <w:rsid w:val="007619D2"/>
    <w:rsid w:val="00767440"/>
    <w:rsid w:val="00770376"/>
    <w:rsid w:val="007714FC"/>
    <w:rsid w:val="007719CF"/>
    <w:rsid w:val="00775876"/>
    <w:rsid w:val="00775FF7"/>
    <w:rsid w:val="00776C6C"/>
    <w:rsid w:val="00776DCC"/>
    <w:rsid w:val="007779AA"/>
    <w:rsid w:val="00780C87"/>
    <w:rsid w:val="00781A49"/>
    <w:rsid w:val="00784B29"/>
    <w:rsid w:val="00784D03"/>
    <w:rsid w:val="007850B5"/>
    <w:rsid w:val="00785397"/>
    <w:rsid w:val="00785559"/>
    <w:rsid w:val="00785DC1"/>
    <w:rsid w:val="00786C0C"/>
    <w:rsid w:val="00786DF1"/>
    <w:rsid w:val="00787215"/>
    <w:rsid w:val="00790351"/>
    <w:rsid w:val="007921CE"/>
    <w:rsid w:val="00792B07"/>
    <w:rsid w:val="00793270"/>
    <w:rsid w:val="00793853"/>
    <w:rsid w:val="007942B4"/>
    <w:rsid w:val="00796BC8"/>
    <w:rsid w:val="007A073C"/>
    <w:rsid w:val="007A1B09"/>
    <w:rsid w:val="007A1FB0"/>
    <w:rsid w:val="007A2094"/>
    <w:rsid w:val="007A33B1"/>
    <w:rsid w:val="007A462E"/>
    <w:rsid w:val="007A4D7D"/>
    <w:rsid w:val="007A5B51"/>
    <w:rsid w:val="007A5FA4"/>
    <w:rsid w:val="007A6CC5"/>
    <w:rsid w:val="007B1C2B"/>
    <w:rsid w:val="007B212C"/>
    <w:rsid w:val="007B245D"/>
    <w:rsid w:val="007B2F03"/>
    <w:rsid w:val="007B3463"/>
    <w:rsid w:val="007B404D"/>
    <w:rsid w:val="007B4282"/>
    <w:rsid w:val="007B4452"/>
    <w:rsid w:val="007B4D19"/>
    <w:rsid w:val="007B5C86"/>
    <w:rsid w:val="007B7531"/>
    <w:rsid w:val="007B7BA6"/>
    <w:rsid w:val="007C0DDF"/>
    <w:rsid w:val="007C23BB"/>
    <w:rsid w:val="007C31D8"/>
    <w:rsid w:val="007C4003"/>
    <w:rsid w:val="007C6988"/>
    <w:rsid w:val="007C7550"/>
    <w:rsid w:val="007D150D"/>
    <w:rsid w:val="007D1AEE"/>
    <w:rsid w:val="007D2B34"/>
    <w:rsid w:val="007D60A2"/>
    <w:rsid w:val="007D7444"/>
    <w:rsid w:val="007D7759"/>
    <w:rsid w:val="007D7C1C"/>
    <w:rsid w:val="007E143C"/>
    <w:rsid w:val="007E3E8E"/>
    <w:rsid w:val="007E6F92"/>
    <w:rsid w:val="007F0E9B"/>
    <w:rsid w:val="007F26A7"/>
    <w:rsid w:val="007F3242"/>
    <w:rsid w:val="007F3E23"/>
    <w:rsid w:val="007F43CB"/>
    <w:rsid w:val="007F448C"/>
    <w:rsid w:val="007F5DCE"/>
    <w:rsid w:val="007F6A31"/>
    <w:rsid w:val="00800C00"/>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2B36"/>
    <w:rsid w:val="00822D2B"/>
    <w:rsid w:val="00826ACC"/>
    <w:rsid w:val="00826D6D"/>
    <w:rsid w:val="0082704A"/>
    <w:rsid w:val="00834355"/>
    <w:rsid w:val="00835BB2"/>
    <w:rsid w:val="008373D6"/>
    <w:rsid w:val="00837953"/>
    <w:rsid w:val="00837971"/>
    <w:rsid w:val="00837B09"/>
    <w:rsid w:val="00842A56"/>
    <w:rsid w:val="00842C51"/>
    <w:rsid w:val="00843034"/>
    <w:rsid w:val="008437D5"/>
    <w:rsid w:val="00843E8E"/>
    <w:rsid w:val="00843FAA"/>
    <w:rsid w:val="008466B3"/>
    <w:rsid w:val="00847514"/>
    <w:rsid w:val="00847E27"/>
    <w:rsid w:val="008502AF"/>
    <w:rsid w:val="008511A9"/>
    <w:rsid w:val="00853D22"/>
    <w:rsid w:val="008559A3"/>
    <w:rsid w:val="00856438"/>
    <w:rsid w:val="00857C59"/>
    <w:rsid w:val="00860FF7"/>
    <w:rsid w:val="0086136C"/>
    <w:rsid w:val="00862AE1"/>
    <w:rsid w:val="00863E5E"/>
    <w:rsid w:val="00865A05"/>
    <w:rsid w:val="008674E0"/>
    <w:rsid w:val="00870088"/>
    <w:rsid w:val="008700CD"/>
    <w:rsid w:val="0087020E"/>
    <w:rsid w:val="008710AF"/>
    <w:rsid w:val="00871355"/>
    <w:rsid w:val="0087185B"/>
    <w:rsid w:val="0087741A"/>
    <w:rsid w:val="00880993"/>
    <w:rsid w:val="00880B00"/>
    <w:rsid w:val="00881200"/>
    <w:rsid w:val="00881240"/>
    <w:rsid w:val="00881336"/>
    <w:rsid w:val="00881E51"/>
    <w:rsid w:val="00883722"/>
    <w:rsid w:val="00884604"/>
    <w:rsid w:val="00885C6B"/>
    <w:rsid w:val="008900E5"/>
    <w:rsid w:val="0089036E"/>
    <w:rsid w:val="00893A32"/>
    <w:rsid w:val="00894863"/>
    <w:rsid w:val="00895367"/>
    <w:rsid w:val="00896ABC"/>
    <w:rsid w:val="0089725C"/>
    <w:rsid w:val="008A0447"/>
    <w:rsid w:val="008A076E"/>
    <w:rsid w:val="008A0ACB"/>
    <w:rsid w:val="008A0DFF"/>
    <w:rsid w:val="008A25DE"/>
    <w:rsid w:val="008A2E69"/>
    <w:rsid w:val="008A3F66"/>
    <w:rsid w:val="008A5DDB"/>
    <w:rsid w:val="008A6CD7"/>
    <w:rsid w:val="008A7545"/>
    <w:rsid w:val="008B0063"/>
    <w:rsid w:val="008B06C7"/>
    <w:rsid w:val="008B1D63"/>
    <w:rsid w:val="008B696D"/>
    <w:rsid w:val="008C2315"/>
    <w:rsid w:val="008C25C8"/>
    <w:rsid w:val="008C4048"/>
    <w:rsid w:val="008C6AD5"/>
    <w:rsid w:val="008C6B72"/>
    <w:rsid w:val="008C6C72"/>
    <w:rsid w:val="008C7683"/>
    <w:rsid w:val="008D0BB5"/>
    <w:rsid w:val="008D1423"/>
    <w:rsid w:val="008D1FAC"/>
    <w:rsid w:val="008D2022"/>
    <w:rsid w:val="008D2A24"/>
    <w:rsid w:val="008D2B36"/>
    <w:rsid w:val="008D6067"/>
    <w:rsid w:val="008D6BE5"/>
    <w:rsid w:val="008E0330"/>
    <w:rsid w:val="008E0435"/>
    <w:rsid w:val="008E0D1A"/>
    <w:rsid w:val="008E7EBA"/>
    <w:rsid w:val="008F0BAF"/>
    <w:rsid w:val="008F0F45"/>
    <w:rsid w:val="008F131E"/>
    <w:rsid w:val="008F1B6D"/>
    <w:rsid w:val="008F1C7C"/>
    <w:rsid w:val="008F22E0"/>
    <w:rsid w:val="008F246F"/>
    <w:rsid w:val="008F2840"/>
    <w:rsid w:val="008F5824"/>
    <w:rsid w:val="008F666A"/>
    <w:rsid w:val="008F6C15"/>
    <w:rsid w:val="008F7456"/>
    <w:rsid w:val="008F74A2"/>
    <w:rsid w:val="008F7584"/>
    <w:rsid w:val="0090014E"/>
    <w:rsid w:val="00901794"/>
    <w:rsid w:val="00901879"/>
    <w:rsid w:val="009036E6"/>
    <w:rsid w:val="00904B1C"/>
    <w:rsid w:val="00904FA8"/>
    <w:rsid w:val="009050AA"/>
    <w:rsid w:val="009052CA"/>
    <w:rsid w:val="00905810"/>
    <w:rsid w:val="0090643F"/>
    <w:rsid w:val="009076D8"/>
    <w:rsid w:val="00910470"/>
    <w:rsid w:val="00911044"/>
    <w:rsid w:val="00912E24"/>
    <w:rsid w:val="0091335C"/>
    <w:rsid w:val="00914112"/>
    <w:rsid w:val="009145C9"/>
    <w:rsid w:val="00915CAB"/>
    <w:rsid w:val="00915EB5"/>
    <w:rsid w:val="00920C09"/>
    <w:rsid w:val="00922A56"/>
    <w:rsid w:val="0092343D"/>
    <w:rsid w:val="00924CF9"/>
    <w:rsid w:val="00924D7D"/>
    <w:rsid w:val="00925DD4"/>
    <w:rsid w:val="0093085A"/>
    <w:rsid w:val="00930F2E"/>
    <w:rsid w:val="009312F5"/>
    <w:rsid w:val="0093283C"/>
    <w:rsid w:val="0093650C"/>
    <w:rsid w:val="00936939"/>
    <w:rsid w:val="0093727C"/>
    <w:rsid w:val="009373A3"/>
    <w:rsid w:val="00941D06"/>
    <w:rsid w:val="009420D6"/>
    <w:rsid w:val="009426D2"/>
    <w:rsid w:val="00943DFE"/>
    <w:rsid w:val="0094410E"/>
    <w:rsid w:val="00944572"/>
    <w:rsid w:val="00946BF0"/>
    <w:rsid w:val="00947602"/>
    <w:rsid w:val="00947DBD"/>
    <w:rsid w:val="00950730"/>
    <w:rsid w:val="009511B7"/>
    <w:rsid w:val="00951FC4"/>
    <w:rsid w:val="00953BD2"/>
    <w:rsid w:val="00954A4E"/>
    <w:rsid w:val="00954C1E"/>
    <w:rsid w:val="00954FD0"/>
    <w:rsid w:val="00962398"/>
    <w:rsid w:val="00962E55"/>
    <w:rsid w:val="00962EDA"/>
    <w:rsid w:val="00964A52"/>
    <w:rsid w:val="00964A6E"/>
    <w:rsid w:val="009653A0"/>
    <w:rsid w:val="009659C3"/>
    <w:rsid w:val="00965CA4"/>
    <w:rsid w:val="00966D7F"/>
    <w:rsid w:val="009702A0"/>
    <w:rsid w:val="00972D7A"/>
    <w:rsid w:val="0097346C"/>
    <w:rsid w:val="0097491E"/>
    <w:rsid w:val="00975980"/>
    <w:rsid w:val="009762F3"/>
    <w:rsid w:val="00977D1C"/>
    <w:rsid w:val="009809A8"/>
    <w:rsid w:val="00980D04"/>
    <w:rsid w:val="00982035"/>
    <w:rsid w:val="00982755"/>
    <w:rsid w:val="00983828"/>
    <w:rsid w:val="00983EF0"/>
    <w:rsid w:val="00986713"/>
    <w:rsid w:val="00987645"/>
    <w:rsid w:val="0099304B"/>
    <w:rsid w:val="00996152"/>
    <w:rsid w:val="0099634B"/>
    <w:rsid w:val="009963A1"/>
    <w:rsid w:val="009963EE"/>
    <w:rsid w:val="00997D07"/>
    <w:rsid w:val="009A0B56"/>
    <w:rsid w:val="009A155F"/>
    <w:rsid w:val="009A21CA"/>
    <w:rsid w:val="009A2616"/>
    <w:rsid w:val="009A2977"/>
    <w:rsid w:val="009A29DB"/>
    <w:rsid w:val="009A5C3D"/>
    <w:rsid w:val="009A7CEC"/>
    <w:rsid w:val="009B0095"/>
    <w:rsid w:val="009B1AAA"/>
    <w:rsid w:val="009B5389"/>
    <w:rsid w:val="009B74E0"/>
    <w:rsid w:val="009B7CEC"/>
    <w:rsid w:val="009C0644"/>
    <w:rsid w:val="009C2DD9"/>
    <w:rsid w:val="009C2FC2"/>
    <w:rsid w:val="009C3A6B"/>
    <w:rsid w:val="009C431A"/>
    <w:rsid w:val="009C48F0"/>
    <w:rsid w:val="009C52BF"/>
    <w:rsid w:val="009D154A"/>
    <w:rsid w:val="009D4149"/>
    <w:rsid w:val="009D5BF6"/>
    <w:rsid w:val="009D720A"/>
    <w:rsid w:val="009D7CA5"/>
    <w:rsid w:val="009D7FF0"/>
    <w:rsid w:val="009E0A41"/>
    <w:rsid w:val="009E0F5E"/>
    <w:rsid w:val="009E1ED9"/>
    <w:rsid w:val="009E2204"/>
    <w:rsid w:val="009E27D8"/>
    <w:rsid w:val="009E3264"/>
    <w:rsid w:val="009E32C7"/>
    <w:rsid w:val="009E3737"/>
    <w:rsid w:val="009E3E94"/>
    <w:rsid w:val="009E4EA9"/>
    <w:rsid w:val="009E561C"/>
    <w:rsid w:val="009F2E19"/>
    <w:rsid w:val="009F2F53"/>
    <w:rsid w:val="009F5C0F"/>
    <w:rsid w:val="00A01590"/>
    <w:rsid w:val="00A019A0"/>
    <w:rsid w:val="00A020E3"/>
    <w:rsid w:val="00A02BE7"/>
    <w:rsid w:val="00A0370B"/>
    <w:rsid w:val="00A03803"/>
    <w:rsid w:val="00A06702"/>
    <w:rsid w:val="00A067F2"/>
    <w:rsid w:val="00A06B3E"/>
    <w:rsid w:val="00A0724A"/>
    <w:rsid w:val="00A1004D"/>
    <w:rsid w:val="00A10CBA"/>
    <w:rsid w:val="00A13764"/>
    <w:rsid w:val="00A14AE7"/>
    <w:rsid w:val="00A14D00"/>
    <w:rsid w:val="00A15416"/>
    <w:rsid w:val="00A15684"/>
    <w:rsid w:val="00A16078"/>
    <w:rsid w:val="00A16C00"/>
    <w:rsid w:val="00A1783D"/>
    <w:rsid w:val="00A206CA"/>
    <w:rsid w:val="00A22282"/>
    <w:rsid w:val="00A2376E"/>
    <w:rsid w:val="00A244EE"/>
    <w:rsid w:val="00A253EE"/>
    <w:rsid w:val="00A2610B"/>
    <w:rsid w:val="00A27B50"/>
    <w:rsid w:val="00A27B5D"/>
    <w:rsid w:val="00A310AD"/>
    <w:rsid w:val="00A311CA"/>
    <w:rsid w:val="00A33D79"/>
    <w:rsid w:val="00A35388"/>
    <w:rsid w:val="00A3687E"/>
    <w:rsid w:val="00A41CD4"/>
    <w:rsid w:val="00A42002"/>
    <w:rsid w:val="00A43A37"/>
    <w:rsid w:val="00A45B20"/>
    <w:rsid w:val="00A516F4"/>
    <w:rsid w:val="00A52D68"/>
    <w:rsid w:val="00A52EAF"/>
    <w:rsid w:val="00A54423"/>
    <w:rsid w:val="00A56151"/>
    <w:rsid w:val="00A56493"/>
    <w:rsid w:val="00A56A3B"/>
    <w:rsid w:val="00A57C5B"/>
    <w:rsid w:val="00A611A5"/>
    <w:rsid w:val="00A6209B"/>
    <w:rsid w:val="00A6243F"/>
    <w:rsid w:val="00A6380F"/>
    <w:rsid w:val="00A63DBB"/>
    <w:rsid w:val="00A67EA4"/>
    <w:rsid w:val="00A74637"/>
    <w:rsid w:val="00A757C4"/>
    <w:rsid w:val="00A775AA"/>
    <w:rsid w:val="00A77CA6"/>
    <w:rsid w:val="00A77D08"/>
    <w:rsid w:val="00A80D6F"/>
    <w:rsid w:val="00A80E49"/>
    <w:rsid w:val="00A81B35"/>
    <w:rsid w:val="00A81C6E"/>
    <w:rsid w:val="00A82445"/>
    <w:rsid w:val="00A82E65"/>
    <w:rsid w:val="00A837A8"/>
    <w:rsid w:val="00A849F3"/>
    <w:rsid w:val="00A84EBD"/>
    <w:rsid w:val="00A84F2F"/>
    <w:rsid w:val="00A850C5"/>
    <w:rsid w:val="00A86E6D"/>
    <w:rsid w:val="00A873EB"/>
    <w:rsid w:val="00A874C8"/>
    <w:rsid w:val="00A90783"/>
    <w:rsid w:val="00A909E3"/>
    <w:rsid w:val="00A92A2B"/>
    <w:rsid w:val="00A93FF3"/>
    <w:rsid w:val="00A94C70"/>
    <w:rsid w:val="00A95577"/>
    <w:rsid w:val="00A96611"/>
    <w:rsid w:val="00A96BCB"/>
    <w:rsid w:val="00A97A2A"/>
    <w:rsid w:val="00AA0C13"/>
    <w:rsid w:val="00AA15ED"/>
    <w:rsid w:val="00AA35DD"/>
    <w:rsid w:val="00AA508C"/>
    <w:rsid w:val="00AA6136"/>
    <w:rsid w:val="00AB01B0"/>
    <w:rsid w:val="00AB103C"/>
    <w:rsid w:val="00AB1505"/>
    <w:rsid w:val="00AB17A8"/>
    <w:rsid w:val="00AB220B"/>
    <w:rsid w:val="00AB2F9D"/>
    <w:rsid w:val="00AB3608"/>
    <w:rsid w:val="00AB39EF"/>
    <w:rsid w:val="00AB5649"/>
    <w:rsid w:val="00AB595B"/>
    <w:rsid w:val="00AB610D"/>
    <w:rsid w:val="00AB6C7E"/>
    <w:rsid w:val="00AB7535"/>
    <w:rsid w:val="00AC0854"/>
    <w:rsid w:val="00AC1D0E"/>
    <w:rsid w:val="00AC3037"/>
    <w:rsid w:val="00AC3379"/>
    <w:rsid w:val="00AC46B1"/>
    <w:rsid w:val="00AC4D36"/>
    <w:rsid w:val="00AC5433"/>
    <w:rsid w:val="00AC55BF"/>
    <w:rsid w:val="00AC60BD"/>
    <w:rsid w:val="00AC7775"/>
    <w:rsid w:val="00AC7FBE"/>
    <w:rsid w:val="00AD04A9"/>
    <w:rsid w:val="00AD22CC"/>
    <w:rsid w:val="00AD4550"/>
    <w:rsid w:val="00AD544A"/>
    <w:rsid w:val="00AD7CB2"/>
    <w:rsid w:val="00AD7DCD"/>
    <w:rsid w:val="00AE0AA7"/>
    <w:rsid w:val="00AE0BC7"/>
    <w:rsid w:val="00AE25A0"/>
    <w:rsid w:val="00AE2D70"/>
    <w:rsid w:val="00AE38A7"/>
    <w:rsid w:val="00AE3D71"/>
    <w:rsid w:val="00AE454F"/>
    <w:rsid w:val="00AE49E6"/>
    <w:rsid w:val="00AE4FD6"/>
    <w:rsid w:val="00AE547B"/>
    <w:rsid w:val="00AE665E"/>
    <w:rsid w:val="00AE71B7"/>
    <w:rsid w:val="00AE7E5A"/>
    <w:rsid w:val="00AF2985"/>
    <w:rsid w:val="00AF2CF8"/>
    <w:rsid w:val="00AF3E3B"/>
    <w:rsid w:val="00AF448B"/>
    <w:rsid w:val="00AF5896"/>
    <w:rsid w:val="00AF7CE4"/>
    <w:rsid w:val="00B00166"/>
    <w:rsid w:val="00B004AE"/>
    <w:rsid w:val="00B00786"/>
    <w:rsid w:val="00B01642"/>
    <w:rsid w:val="00B04DF1"/>
    <w:rsid w:val="00B05389"/>
    <w:rsid w:val="00B07EB2"/>
    <w:rsid w:val="00B14292"/>
    <w:rsid w:val="00B145D0"/>
    <w:rsid w:val="00B14D98"/>
    <w:rsid w:val="00B15CD5"/>
    <w:rsid w:val="00B15F70"/>
    <w:rsid w:val="00B15F98"/>
    <w:rsid w:val="00B1687E"/>
    <w:rsid w:val="00B20654"/>
    <w:rsid w:val="00B217B9"/>
    <w:rsid w:val="00B21DAD"/>
    <w:rsid w:val="00B243AE"/>
    <w:rsid w:val="00B244AE"/>
    <w:rsid w:val="00B25966"/>
    <w:rsid w:val="00B26088"/>
    <w:rsid w:val="00B2734B"/>
    <w:rsid w:val="00B324C0"/>
    <w:rsid w:val="00B33F49"/>
    <w:rsid w:val="00B366EA"/>
    <w:rsid w:val="00B36CF8"/>
    <w:rsid w:val="00B36D59"/>
    <w:rsid w:val="00B37831"/>
    <w:rsid w:val="00B40323"/>
    <w:rsid w:val="00B40587"/>
    <w:rsid w:val="00B41D95"/>
    <w:rsid w:val="00B43413"/>
    <w:rsid w:val="00B46BB0"/>
    <w:rsid w:val="00B509BD"/>
    <w:rsid w:val="00B52768"/>
    <w:rsid w:val="00B53F5A"/>
    <w:rsid w:val="00B543AD"/>
    <w:rsid w:val="00B55D1F"/>
    <w:rsid w:val="00B5623E"/>
    <w:rsid w:val="00B5757C"/>
    <w:rsid w:val="00B57A1A"/>
    <w:rsid w:val="00B60677"/>
    <w:rsid w:val="00B63618"/>
    <w:rsid w:val="00B6554C"/>
    <w:rsid w:val="00B72005"/>
    <w:rsid w:val="00B72DFE"/>
    <w:rsid w:val="00B75A9F"/>
    <w:rsid w:val="00B7678D"/>
    <w:rsid w:val="00B767C7"/>
    <w:rsid w:val="00B778A6"/>
    <w:rsid w:val="00B779D5"/>
    <w:rsid w:val="00B83075"/>
    <w:rsid w:val="00B85093"/>
    <w:rsid w:val="00B85FA2"/>
    <w:rsid w:val="00B871D2"/>
    <w:rsid w:val="00B87462"/>
    <w:rsid w:val="00B8769A"/>
    <w:rsid w:val="00B878C3"/>
    <w:rsid w:val="00B90623"/>
    <w:rsid w:val="00B90D32"/>
    <w:rsid w:val="00B92708"/>
    <w:rsid w:val="00B936AB"/>
    <w:rsid w:val="00B96AD4"/>
    <w:rsid w:val="00BA0273"/>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7BE1"/>
    <w:rsid w:val="00BC148F"/>
    <w:rsid w:val="00BC21DB"/>
    <w:rsid w:val="00BC3B10"/>
    <w:rsid w:val="00BC4401"/>
    <w:rsid w:val="00BD017A"/>
    <w:rsid w:val="00BD2AF2"/>
    <w:rsid w:val="00BD2EAC"/>
    <w:rsid w:val="00BD421A"/>
    <w:rsid w:val="00BD439C"/>
    <w:rsid w:val="00BD6832"/>
    <w:rsid w:val="00BE1440"/>
    <w:rsid w:val="00BE18EF"/>
    <w:rsid w:val="00BE5245"/>
    <w:rsid w:val="00BE6837"/>
    <w:rsid w:val="00BF18D2"/>
    <w:rsid w:val="00BF1A2D"/>
    <w:rsid w:val="00BF1C23"/>
    <w:rsid w:val="00BF264D"/>
    <w:rsid w:val="00BF7D6A"/>
    <w:rsid w:val="00C00264"/>
    <w:rsid w:val="00C01E51"/>
    <w:rsid w:val="00C05CC4"/>
    <w:rsid w:val="00C06575"/>
    <w:rsid w:val="00C114A7"/>
    <w:rsid w:val="00C14BEC"/>
    <w:rsid w:val="00C179D4"/>
    <w:rsid w:val="00C211CC"/>
    <w:rsid w:val="00C218F8"/>
    <w:rsid w:val="00C21C5A"/>
    <w:rsid w:val="00C23912"/>
    <w:rsid w:val="00C23C74"/>
    <w:rsid w:val="00C2628A"/>
    <w:rsid w:val="00C262FB"/>
    <w:rsid w:val="00C26C25"/>
    <w:rsid w:val="00C275CC"/>
    <w:rsid w:val="00C31B7D"/>
    <w:rsid w:val="00C325A2"/>
    <w:rsid w:val="00C32AFE"/>
    <w:rsid w:val="00C33E52"/>
    <w:rsid w:val="00C345B6"/>
    <w:rsid w:val="00C34D5B"/>
    <w:rsid w:val="00C35D65"/>
    <w:rsid w:val="00C36010"/>
    <w:rsid w:val="00C3643C"/>
    <w:rsid w:val="00C373A6"/>
    <w:rsid w:val="00C40C49"/>
    <w:rsid w:val="00C4230E"/>
    <w:rsid w:val="00C42C3A"/>
    <w:rsid w:val="00C45734"/>
    <w:rsid w:val="00C470DB"/>
    <w:rsid w:val="00C47BFA"/>
    <w:rsid w:val="00C50BB7"/>
    <w:rsid w:val="00C52C1C"/>
    <w:rsid w:val="00C5346B"/>
    <w:rsid w:val="00C54D98"/>
    <w:rsid w:val="00C565B1"/>
    <w:rsid w:val="00C56DD3"/>
    <w:rsid w:val="00C57173"/>
    <w:rsid w:val="00C61760"/>
    <w:rsid w:val="00C61FB4"/>
    <w:rsid w:val="00C62A13"/>
    <w:rsid w:val="00C64F59"/>
    <w:rsid w:val="00C6566D"/>
    <w:rsid w:val="00C67A2A"/>
    <w:rsid w:val="00C7227C"/>
    <w:rsid w:val="00C72C09"/>
    <w:rsid w:val="00C734D0"/>
    <w:rsid w:val="00C73B75"/>
    <w:rsid w:val="00C753ED"/>
    <w:rsid w:val="00C75614"/>
    <w:rsid w:val="00C75AA7"/>
    <w:rsid w:val="00C7618A"/>
    <w:rsid w:val="00C76626"/>
    <w:rsid w:val="00C77FFC"/>
    <w:rsid w:val="00C802CA"/>
    <w:rsid w:val="00C81651"/>
    <w:rsid w:val="00C831C3"/>
    <w:rsid w:val="00C8374F"/>
    <w:rsid w:val="00C85B20"/>
    <w:rsid w:val="00C85E6E"/>
    <w:rsid w:val="00C874DE"/>
    <w:rsid w:val="00C87E15"/>
    <w:rsid w:val="00C92F28"/>
    <w:rsid w:val="00C93BBC"/>
    <w:rsid w:val="00C9480D"/>
    <w:rsid w:val="00C96156"/>
    <w:rsid w:val="00CA1196"/>
    <w:rsid w:val="00CA1555"/>
    <w:rsid w:val="00CA163A"/>
    <w:rsid w:val="00CA17D7"/>
    <w:rsid w:val="00CA2998"/>
    <w:rsid w:val="00CA352C"/>
    <w:rsid w:val="00CA3637"/>
    <w:rsid w:val="00CA3A62"/>
    <w:rsid w:val="00CA71B0"/>
    <w:rsid w:val="00CA73C3"/>
    <w:rsid w:val="00CA7D47"/>
    <w:rsid w:val="00CB022B"/>
    <w:rsid w:val="00CB0B01"/>
    <w:rsid w:val="00CB2089"/>
    <w:rsid w:val="00CB2934"/>
    <w:rsid w:val="00CB385E"/>
    <w:rsid w:val="00CB3AA9"/>
    <w:rsid w:val="00CB53D1"/>
    <w:rsid w:val="00CB5B27"/>
    <w:rsid w:val="00CB5D5A"/>
    <w:rsid w:val="00CB619F"/>
    <w:rsid w:val="00CB67D7"/>
    <w:rsid w:val="00CB6AA2"/>
    <w:rsid w:val="00CB6C7A"/>
    <w:rsid w:val="00CB7B3C"/>
    <w:rsid w:val="00CC0ED0"/>
    <w:rsid w:val="00CC1872"/>
    <w:rsid w:val="00CC2DEC"/>
    <w:rsid w:val="00CC4995"/>
    <w:rsid w:val="00CC538F"/>
    <w:rsid w:val="00CC78D4"/>
    <w:rsid w:val="00CC7F3F"/>
    <w:rsid w:val="00CD544A"/>
    <w:rsid w:val="00CE33F1"/>
    <w:rsid w:val="00CE35B0"/>
    <w:rsid w:val="00CE51BF"/>
    <w:rsid w:val="00CE57F9"/>
    <w:rsid w:val="00CE7044"/>
    <w:rsid w:val="00CF06B9"/>
    <w:rsid w:val="00CF0AE6"/>
    <w:rsid w:val="00CF3A31"/>
    <w:rsid w:val="00CF542C"/>
    <w:rsid w:val="00CF5942"/>
    <w:rsid w:val="00CF691F"/>
    <w:rsid w:val="00CF6C26"/>
    <w:rsid w:val="00D00D01"/>
    <w:rsid w:val="00D010A7"/>
    <w:rsid w:val="00D04B4D"/>
    <w:rsid w:val="00D076DA"/>
    <w:rsid w:val="00D11F45"/>
    <w:rsid w:val="00D13B0A"/>
    <w:rsid w:val="00D13C7E"/>
    <w:rsid w:val="00D14B88"/>
    <w:rsid w:val="00D16D78"/>
    <w:rsid w:val="00D16EBE"/>
    <w:rsid w:val="00D171A0"/>
    <w:rsid w:val="00D17D66"/>
    <w:rsid w:val="00D203E3"/>
    <w:rsid w:val="00D20FF9"/>
    <w:rsid w:val="00D21C59"/>
    <w:rsid w:val="00D237DB"/>
    <w:rsid w:val="00D2388F"/>
    <w:rsid w:val="00D23C04"/>
    <w:rsid w:val="00D30C55"/>
    <w:rsid w:val="00D32021"/>
    <w:rsid w:val="00D322E0"/>
    <w:rsid w:val="00D331B3"/>
    <w:rsid w:val="00D3323B"/>
    <w:rsid w:val="00D34990"/>
    <w:rsid w:val="00D34E44"/>
    <w:rsid w:val="00D35AED"/>
    <w:rsid w:val="00D36375"/>
    <w:rsid w:val="00D37FC4"/>
    <w:rsid w:val="00D40886"/>
    <w:rsid w:val="00D40B48"/>
    <w:rsid w:val="00D41012"/>
    <w:rsid w:val="00D419FE"/>
    <w:rsid w:val="00D43686"/>
    <w:rsid w:val="00D44C3E"/>
    <w:rsid w:val="00D471E0"/>
    <w:rsid w:val="00D478B8"/>
    <w:rsid w:val="00D51412"/>
    <w:rsid w:val="00D52454"/>
    <w:rsid w:val="00D53FE9"/>
    <w:rsid w:val="00D5568B"/>
    <w:rsid w:val="00D5587F"/>
    <w:rsid w:val="00D55F6E"/>
    <w:rsid w:val="00D5631B"/>
    <w:rsid w:val="00D56797"/>
    <w:rsid w:val="00D56EE5"/>
    <w:rsid w:val="00D56FAB"/>
    <w:rsid w:val="00D60276"/>
    <w:rsid w:val="00D630BB"/>
    <w:rsid w:val="00D63D96"/>
    <w:rsid w:val="00D649ED"/>
    <w:rsid w:val="00D726FB"/>
    <w:rsid w:val="00D72977"/>
    <w:rsid w:val="00D742A4"/>
    <w:rsid w:val="00D77070"/>
    <w:rsid w:val="00D80D70"/>
    <w:rsid w:val="00D81591"/>
    <w:rsid w:val="00D8296D"/>
    <w:rsid w:val="00D82C53"/>
    <w:rsid w:val="00D830C1"/>
    <w:rsid w:val="00D83B08"/>
    <w:rsid w:val="00D84A76"/>
    <w:rsid w:val="00D84C35"/>
    <w:rsid w:val="00D86D70"/>
    <w:rsid w:val="00D87323"/>
    <w:rsid w:val="00D90BCF"/>
    <w:rsid w:val="00D9171F"/>
    <w:rsid w:val="00D92608"/>
    <w:rsid w:val="00D94621"/>
    <w:rsid w:val="00D9557E"/>
    <w:rsid w:val="00D95D08"/>
    <w:rsid w:val="00D96778"/>
    <w:rsid w:val="00D96FE0"/>
    <w:rsid w:val="00D97914"/>
    <w:rsid w:val="00D97B32"/>
    <w:rsid w:val="00DA146D"/>
    <w:rsid w:val="00DA1A3B"/>
    <w:rsid w:val="00DA2D9C"/>
    <w:rsid w:val="00DA3CF5"/>
    <w:rsid w:val="00DA45B0"/>
    <w:rsid w:val="00DA4F39"/>
    <w:rsid w:val="00DA561B"/>
    <w:rsid w:val="00DA6C1F"/>
    <w:rsid w:val="00DA6E8C"/>
    <w:rsid w:val="00DB02E9"/>
    <w:rsid w:val="00DB0784"/>
    <w:rsid w:val="00DB1135"/>
    <w:rsid w:val="00DB18BC"/>
    <w:rsid w:val="00DB1D86"/>
    <w:rsid w:val="00DB379A"/>
    <w:rsid w:val="00DB5069"/>
    <w:rsid w:val="00DB68D7"/>
    <w:rsid w:val="00DB738D"/>
    <w:rsid w:val="00DC1A20"/>
    <w:rsid w:val="00DC2D14"/>
    <w:rsid w:val="00DC5149"/>
    <w:rsid w:val="00DC53ED"/>
    <w:rsid w:val="00DC745B"/>
    <w:rsid w:val="00DC7760"/>
    <w:rsid w:val="00DD14D3"/>
    <w:rsid w:val="00DD17D6"/>
    <w:rsid w:val="00DD1EF7"/>
    <w:rsid w:val="00DD5588"/>
    <w:rsid w:val="00DD7BE1"/>
    <w:rsid w:val="00DE0A37"/>
    <w:rsid w:val="00DE1958"/>
    <w:rsid w:val="00DE37EE"/>
    <w:rsid w:val="00DE3A2F"/>
    <w:rsid w:val="00DE431B"/>
    <w:rsid w:val="00DE4AA2"/>
    <w:rsid w:val="00DE5362"/>
    <w:rsid w:val="00DE76B9"/>
    <w:rsid w:val="00DF0EAE"/>
    <w:rsid w:val="00DF2ACA"/>
    <w:rsid w:val="00DF2CD8"/>
    <w:rsid w:val="00DF30D3"/>
    <w:rsid w:val="00DF5535"/>
    <w:rsid w:val="00DF68EA"/>
    <w:rsid w:val="00E01B88"/>
    <w:rsid w:val="00E030FA"/>
    <w:rsid w:val="00E05051"/>
    <w:rsid w:val="00E05FF1"/>
    <w:rsid w:val="00E10B7F"/>
    <w:rsid w:val="00E14139"/>
    <w:rsid w:val="00E14B35"/>
    <w:rsid w:val="00E1574D"/>
    <w:rsid w:val="00E1603A"/>
    <w:rsid w:val="00E22256"/>
    <w:rsid w:val="00E22638"/>
    <w:rsid w:val="00E22749"/>
    <w:rsid w:val="00E240F0"/>
    <w:rsid w:val="00E2572B"/>
    <w:rsid w:val="00E257A1"/>
    <w:rsid w:val="00E2717D"/>
    <w:rsid w:val="00E27DF1"/>
    <w:rsid w:val="00E30FAD"/>
    <w:rsid w:val="00E31A0E"/>
    <w:rsid w:val="00E32457"/>
    <w:rsid w:val="00E32849"/>
    <w:rsid w:val="00E33A71"/>
    <w:rsid w:val="00E36CB4"/>
    <w:rsid w:val="00E4032A"/>
    <w:rsid w:val="00E43CA8"/>
    <w:rsid w:val="00E45881"/>
    <w:rsid w:val="00E460F4"/>
    <w:rsid w:val="00E46709"/>
    <w:rsid w:val="00E469A5"/>
    <w:rsid w:val="00E543D5"/>
    <w:rsid w:val="00E54991"/>
    <w:rsid w:val="00E56BE9"/>
    <w:rsid w:val="00E56E7E"/>
    <w:rsid w:val="00E579ED"/>
    <w:rsid w:val="00E608FE"/>
    <w:rsid w:val="00E60D21"/>
    <w:rsid w:val="00E62349"/>
    <w:rsid w:val="00E62549"/>
    <w:rsid w:val="00E626EE"/>
    <w:rsid w:val="00E63891"/>
    <w:rsid w:val="00E63A1F"/>
    <w:rsid w:val="00E66B86"/>
    <w:rsid w:val="00E704AC"/>
    <w:rsid w:val="00E71D0B"/>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F2E"/>
    <w:rsid w:val="00E95724"/>
    <w:rsid w:val="00EA1519"/>
    <w:rsid w:val="00EA36BC"/>
    <w:rsid w:val="00EA3866"/>
    <w:rsid w:val="00EA3FBC"/>
    <w:rsid w:val="00EA47E6"/>
    <w:rsid w:val="00EA5083"/>
    <w:rsid w:val="00EA5284"/>
    <w:rsid w:val="00EA6126"/>
    <w:rsid w:val="00EA7B20"/>
    <w:rsid w:val="00EA7B59"/>
    <w:rsid w:val="00EB0CFC"/>
    <w:rsid w:val="00EB210E"/>
    <w:rsid w:val="00EB4708"/>
    <w:rsid w:val="00EB4D5F"/>
    <w:rsid w:val="00EB6102"/>
    <w:rsid w:val="00EC0A95"/>
    <w:rsid w:val="00EC21E4"/>
    <w:rsid w:val="00EC3689"/>
    <w:rsid w:val="00EC3CAD"/>
    <w:rsid w:val="00EC6782"/>
    <w:rsid w:val="00EC6F42"/>
    <w:rsid w:val="00EC71FE"/>
    <w:rsid w:val="00EC7299"/>
    <w:rsid w:val="00EC7A31"/>
    <w:rsid w:val="00ED1999"/>
    <w:rsid w:val="00ED484F"/>
    <w:rsid w:val="00ED5B27"/>
    <w:rsid w:val="00ED6DB3"/>
    <w:rsid w:val="00ED751A"/>
    <w:rsid w:val="00ED7AAF"/>
    <w:rsid w:val="00ED7D75"/>
    <w:rsid w:val="00EE25DC"/>
    <w:rsid w:val="00EE39FB"/>
    <w:rsid w:val="00EE4598"/>
    <w:rsid w:val="00EE531B"/>
    <w:rsid w:val="00EE6762"/>
    <w:rsid w:val="00EE6BCA"/>
    <w:rsid w:val="00EF03C6"/>
    <w:rsid w:val="00EF0524"/>
    <w:rsid w:val="00EF0A13"/>
    <w:rsid w:val="00EF1726"/>
    <w:rsid w:val="00EF1E0D"/>
    <w:rsid w:val="00EF2602"/>
    <w:rsid w:val="00EF326B"/>
    <w:rsid w:val="00EF382C"/>
    <w:rsid w:val="00EF3CC8"/>
    <w:rsid w:val="00EF4C8C"/>
    <w:rsid w:val="00EF6132"/>
    <w:rsid w:val="00EF6EB7"/>
    <w:rsid w:val="00F029E9"/>
    <w:rsid w:val="00F0358D"/>
    <w:rsid w:val="00F03823"/>
    <w:rsid w:val="00F03DBD"/>
    <w:rsid w:val="00F04D27"/>
    <w:rsid w:val="00F05502"/>
    <w:rsid w:val="00F05CE9"/>
    <w:rsid w:val="00F0715A"/>
    <w:rsid w:val="00F07891"/>
    <w:rsid w:val="00F07A51"/>
    <w:rsid w:val="00F148FF"/>
    <w:rsid w:val="00F15ABC"/>
    <w:rsid w:val="00F16652"/>
    <w:rsid w:val="00F178B1"/>
    <w:rsid w:val="00F17924"/>
    <w:rsid w:val="00F20C15"/>
    <w:rsid w:val="00F21F9F"/>
    <w:rsid w:val="00F27306"/>
    <w:rsid w:val="00F2774F"/>
    <w:rsid w:val="00F3114A"/>
    <w:rsid w:val="00F3192B"/>
    <w:rsid w:val="00F31BD3"/>
    <w:rsid w:val="00F32746"/>
    <w:rsid w:val="00F353DB"/>
    <w:rsid w:val="00F40919"/>
    <w:rsid w:val="00F420FA"/>
    <w:rsid w:val="00F43EDB"/>
    <w:rsid w:val="00F453D7"/>
    <w:rsid w:val="00F45578"/>
    <w:rsid w:val="00F465B8"/>
    <w:rsid w:val="00F46A57"/>
    <w:rsid w:val="00F46F52"/>
    <w:rsid w:val="00F475F5"/>
    <w:rsid w:val="00F50427"/>
    <w:rsid w:val="00F50552"/>
    <w:rsid w:val="00F51355"/>
    <w:rsid w:val="00F5152C"/>
    <w:rsid w:val="00F52F60"/>
    <w:rsid w:val="00F5347D"/>
    <w:rsid w:val="00F53CD6"/>
    <w:rsid w:val="00F570DD"/>
    <w:rsid w:val="00F60AF5"/>
    <w:rsid w:val="00F626B8"/>
    <w:rsid w:val="00F6338A"/>
    <w:rsid w:val="00F635F0"/>
    <w:rsid w:val="00F64854"/>
    <w:rsid w:val="00F669CD"/>
    <w:rsid w:val="00F67584"/>
    <w:rsid w:val="00F70030"/>
    <w:rsid w:val="00F703CF"/>
    <w:rsid w:val="00F71662"/>
    <w:rsid w:val="00F72475"/>
    <w:rsid w:val="00F7601C"/>
    <w:rsid w:val="00F7634F"/>
    <w:rsid w:val="00F80010"/>
    <w:rsid w:val="00F80F7D"/>
    <w:rsid w:val="00F81CA7"/>
    <w:rsid w:val="00F83E4E"/>
    <w:rsid w:val="00F868EB"/>
    <w:rsid w:val="00F91434"/>
    <w:rsid w:val="00F93C4E"/>
    <w:rsid w:val="00F9412C"/>
    <w:rsid w:val="00F94890"/>
    <w:rsid w:val="00F9533D"/>
    <w:rsid w:val="00F9541A"/>
    <w:rsid w:val="00F96358"/>
    <w:rsid w:val="00FA24EA"/>
    <w:rsid w:val="00FA4E55"/>
    <w:rsid w:val="00FB0033"/>
    <w:rsid w:val="00FB0ACB"/>
    <w:rsid w:val="00FB2745"/>
    <w:rsid w:val="00FB2A3F"/>
    <w:rsid w:val="00FB46B5"/>
    <w:rsid w:val="00FB655A"/>
    <w:rsid w:val="00FC091E"/>
    <w:rsid w:val="00FC0DE2"/>
    <w:rsid w:val="00FC12B6"/>
    <w:rsid w:val="00FC1EB7"/>
    <w:rsid w:val="00FC34B5"/>
    <w:rsid w:val="00FC5959"/>
    <w:rsid w:val="00FC67A6"/>
    <w:rsid w:val="00FC699E"/>
    <w:rsid w:val="00FC7767"/>
    <w:rsid w:val="00FD146A"/>
    <w:rsid w:val="00FD1543"/>
    <w:rsid w:val="00FD20F3"/>
    <w:rsid w:val="00FD2188"/>
    <w:rsid w:val="00FD2429"/>
    <w:rsid w:val="00FD28D8"/>
    <w:rsid w:val="00FD2C57"/>
    <w:rsid w:val="00FD3DF0"/>
    <w:rsid w:val="00FD4113"/>
    <w:rsid w:val="00FD5E2E"/>
    <w:rsid w:val="00FE1B3B"/>
    <w:rsid w:val="00FE2679"/>
    <w:rsid w:val="00FE34ED"/>
    <w:rsid w:val="00FE4337"/>
    <w:rsid w:val="00FE4904"/>
    <w:rsid w:val="00FE4C69"/>
    <w:rsid w:val="00FE57EE"/>
    <w:rsid w:val="00FE58C7"/>
    <w:rsid w:val="00FE7588"/>
    <w:rsid w:val="00FF37C2"/>
    <w:rsid w:val="00FF4D69"/>
    <w:rsid w:val="00FF4FAC"/>
    <w:rsid w:val="00FF508D"/>
    <w:rsid w:val="00FF7712"/>
    <w:rsid w:val="00FF79A9"/>
    <w:rsid w:val="01152B5F"/>
    <w:rsid w:val="012304E9"/>
    <w:rsid w:val="017F3EED"/>
    <w:rsid w:val="02206017"/>
    <w:rsid w:val="024677F2"/>
    <w:rsid w:val="02EC7A94"/>
    <w:rsid w:val="036E5A21"/>
    <w:rsid w:val="03E6051C"/>
    <w:rsid w:val="0419631C"/>
    <w:rsid w:val="043240A2"/>
    <w:rsid w:val="04FB5A13"/>
    <w:rsid w:val="07EC6F0B"/>
    <w:rsid w:val="08433A0C"/>
    <w:rsid w:val="08965EEE"/>
    <w:rsid w:val="08A4443A"/>
    <w:rsid w:val="08CA63AF"/>
    <w:rsid w:val="0A37356D"/>
    <w:rsid w:val="0B8F2541"/>
    <w:rsid w:val="0DCB1BC3"/>
    <w:rsid w:val="0DE37B48"/>
    <w:rsid w:val="0E397051"/>
    <w:rsid w:val="0E537FC3"/>
    <w:rsid w:val="0EC6726F"/>
    <w:rsid w:val="0F4B692A"/>
    <w:rsid w:val="0FFF0A52"/>
    <w:rsid w:val="106519EC"/>
    <w:rsid w:val="108F3EB6"/>
    <w:rsid w:val="113E51CB"/>
    <w:rsid w:val="115171FB"/>
    <w:rsid w:val="116622C5"/>
    <w:rsid w:val="11A95B02"/>
    <w:rsid w:val="127C57D1"/>
    <w:rsid w:val="13163C28"/>
    <w:rsid w:val="136172A7"/>
    <w:rsid w:val="142349C8"/>
    <w:rsid w:val="162C5612"/>
    <w:rsid w:val="17C522FB"/>
    <w:rsid w:val="18A104D3"/>
    <w:rsid w:val="19B55AB3"/>
    <w:rsid w:val="19DD426E"/>
    <w:rsid w:val="1A9C317B"/>
    <w:rsid w:val="1AA470EC"/>
    <w:rsid w:val="1C041EE0"/>
    <w:rsid w:val="1D646708"/>
    <w:rsid w:val="1D6557FB"/>
    <w:rsid w:val="1DC03651"/>
    <w:rsid w:val="1EBF7192"/>
    <w:rsid w:val="1EF11CAE"/>
    <w:rsid w:val="1EFB781E"/>
    <w:rsid w:val="1F31751A"/>
    <w:rsid w:val="1FE55C39"/>
    <w:rsid w:val="1FFC1957"/>
    <w:rsid w:val="20040FEB"/>
    <w:rsid w:val="21701FA9"/>
    <w:rsid w:val="21E130F9"/>
    <w:rsid w:val="221B5564"/>
    <w:rsid w:val="221C32B7"/>
    <w:rsid w:val="222A03BD"/>
    <w:rsid w:val="2266371B"/>
    <w:rsid w:val="227B643E"/>
    <w:rsid w:val="22803907"/>
    <w:rsid w:val="22AC2254"/>
    <w:rsid w:val="22BF02BB"/>
    <w:rsid w:val="23406771"/>
    <w:rsid w:val="242B24DF"/>
    <w:rsid w:val="242D7C97"/>
    <w:rsid w:val="24CC5CC8"/>
    <w:rsid w:val="24D317D8"/>
    <w:rsid w:val="25F45C2B"/>
    <w:rsid w:val="26FB6832"/>
    <w:rsid w:val="27F3508A"/>
    <w:rsid w:val="28ED0B6A"/>
    <w:rsid w:val="29301AA6"/>
    <w:rsid w:val="2A1F68E6"/>
    <w:rsid w:val="2A707334"/>
    <w:rsid w:val="2AA67E09"/>
    <w:rsid w:val="2B866286"/>
    <w:rsid w:val="2BBF51E4"/>
    <w:rsid w:val="2BDD749A"/>
    <w:rsid w:val="2BE05FF3"/>
    <w:rsid w:val="2CC4142B"/>
    <w:rsid w:val="2CDA3039"/>
    <w:rsid w:val="2CF215A6"/>
    <w:rsid w:val="2D465680"/>
    <w:rsid w:val="2D822664"/>
    <w:rsid w:val="2E210A49"/>
    <w:rsid w:val="2FA1773B"/>
    <w:rsid w:val="2FA507F3"/>
    <w:rsid w:val="305A3B95"/>
    <w:rsid w:val="312D0FFD"/>
    <w:rsid w:val="31D45E2B"/>
    <w:rsid w:val="31D870DD"/>
    <w:rsid w:val="320C4E1B"/>
    <w:rsid w:val="32FF3914"/>
    <w:rsid w:val="332A5B91"/>
    <w:rsid w:val="33EB1C4D"/>
    <w:rsid w:val="342F19A0"/>
    <w:rsid w:val="344519DA"/>
    <w:rsid w:val="34471A3D"/>
    <w:rsid w:val="348E6CC8"/>
    <w:rsid w:val="355E29A1"/>
    <w:rsid w:val="361956B6"/>
    <w:rsid w:val="36726B1F"/>
    <w:rsid w:val="37275F79"/>
    <w:rsid w:val="37423DB7"/>
    <w:rsid w:val="379640D5"/>
    <w:rsid w:val="3800089E"/>
    <w:rsid w:val="380B1D9A"/>
    <w:rsid w:val="38E21CF2"/>
    <w:rsid w:val="393802F5"/>
    <w:rsid w:val="396360C2"/>
    <w:rsid w:val="399B1433"/>
    <w:rsid w:val="39F96249"/>
    <w:rsid w:val="3B0D0FD9"/>
    <w:rsid w:val="3B1829FB"/>
    <w:rsid w:val="3C4741CA"/>
    <w:rsid w:val="3C842F63"/>
    <w:rsid w:val="3CDD7461"/>
    <w:rsid w:val="3D06174C"/>
    <w:rsid w:val="3D0A1843"/>
    <w:rsid w:val="3D876254"/>
    <w:rsid w:val="3D9F6FDD"/>
    <w:rsid w:val="3DED3D29"/>
    <w:rsid w:val="3E227533"/>
    <w:rsid w:val="3EE91D34"/>
    <w:rsid w:val="3EFC0235"/>
    <w:rsid w:val="3F4807FB"/>
    <w:rsid w:val="3F6C182D"/>
    <w:rsid w:val="3F89400C"/>
    <w:rsid w:val="41132FEC"/>
    <w:rsid w:val="41B04259"/>
    <w:rsid w:val="41C06764"/>
    <w:rsid w:val="41D3555E"/>
    <w:rsid w:val="41D568DA"/>
    <w:rsid w:val="424E17F4"/>
    <w:rsid w:val="43D93B74"/>
    <w:rsid w:val="43F05E44"/>
    <w:rsid w:val="44F95853"/>
    <w:rsid w:val="458C4680"/>
    <w:rsid w:val="45906A27"/>
    <w:rsid w:val="474A1856"/>
    <w:rsid w:val="47863161"/>
    <w:rsid w:val="48094F09"/>
    <w:rsid w:val="48C87F22"/>
    <w:rsid w:val="49AC3932"/>
    <w:rsid w:val="49DE0681"/>
    <w:rsid w:val="4A4F4EC2"/>
    <w:rsid w:val="4B34573C"/>
    <w:rsid w:val="4B3738BB"/>
    <w:rsid w:val="4B7A7170"/>
    <w:rsid w:val="4B7C6BF7"/>
    <w:rsid w:val="4BDA5388"/>
    <w:rsid w:val="4CFB5359"/>
    <w:rsid w:val="4D4D1809"/>
    <w:rsid w:val="4E4A439A"/>
    <w:rsid w:val="4EC1722E"/>
    <w:rsid w:val="4F001BCC"/>
    <w:rsid w:val="4F5218ED"/>
    <w:rsid w:val="4F784888"/>
    <w:rsid w:val="4FDB5896"/>
    <w:rsid w:val="4FE41E54"/>
    <w:rsid w:val="508D3093"/>
    <w:rsid w:val="509012EC"/>
    <w:rsid w:val="51F845EB"/>
    <w:rsid w:val="51FB360F"/>
    <w:rsid w:val="5221432D"/>
    <w:rsid w:val="52A60F92"/>
    <w:rsid w:val="53524DED"/>
    <w:rsid w:val="53A139B4"/>
    <w:rsid w:val="53A86F18"/>
    <w:rsid w:val="53CB445D"/>
    <w:rsid w:val="548270CF"/>
    <w:rsid w:val="54D91622"/>
    <w:rsid w:val="565F310C"/>
    <w:rsid w:val="566A6020"/>
    <w:rsid w:val="56972C61"/>
    <w:rsid w:val="56E94433"/>
    <w:rsid w:val="57D17909"/>
    <w:rsid w:val="58B27CC3"/>
    <w:rsid w:val="59260E57"/>
    <w:rsid w:val="59BF009D"/>
    <w:rsid w:val="5A217E5B"/>
    <w:rsid w:val="5ADA210C"/>
    <w:rsid w:val="5AF75EB0"/>
    <w:rsid w:val="5B5C53E4"/>
    <w:rsid w:val="5B625BCE"/>
    <w:rsid w:val="5BE06CA5"/>
    <w:rsid w:val="5C823256"/>
    <w:rsid w:val="5DE441AC"/>
    <w:rsid w:val="5DE46FAF"/>
    <w:rsid w:val="5E0F5E3E"/>
    <w:rsid w:val="5E8763EC"/>
    <w:rsid w:val="5EB7567E"/>
    <w:rsid w:val="5ED42420"/>
    <w:rsid w:val="5FD7044A"/>
    <w:rsid w:val="60342F05"/>
    <w:rsid w:val="60507D65"/>
    <w:rsid w:val="60FD28B6"/>
    <w:rsid w:val="617C5745"/>
    <w:rsid w:val="61A27384"/>
    <w:rsid w:val="61EA59E2"/>
    <w:rsid w:val="63B2022D"/>
    <w:rsid w:val="63F87562"/>
    <w:rsid w:val="644A7D2D"/>
    <w:rsid w:val="64C268FF"/>
    <w:rsid w:val="6500635B"/>
    <w:rsid w:val="657F2909"/>
    <w:rsid w:val="65D66667"/>
    <w:rsid w:val="66D777FD"/>
    <w:rsid w:val="677D539D"/>
    <w:rsid w:val="678F513D"/>
    <w:rsid w:val="68773090"/>
    <w:rsid w:val="68C70F39"/>
    <w:rsid w:val="68D7106B"/>
    <w:rsid w:val="68EE41E3"/>
    <w:rsid w:val="69DF332A"/>
    <w:rsid w:val="69E35F50"/>
    <w:rsid w:val="6A6D6BA4"/>
    <w:rsid w:val="6BF46938"/>
    <w:rsid w:val="6C920AD6"/>
    <w:rsid w:val="6D023F42"/>
    <w:rsid w:val="6DD01BE3"/>
    <w:rsid w:val="6E8C59CD"/>
    <w:rsid w:val="6F035A59"/>
    <w:rsid w:val="6F483AD1"/>
    <w:rsid w:val="6FC5102F"/>
    <w:rsid w:val="6FE11806"/>
    <w:rsid w:val="70B33B2D"/>
    <w:rsid w:val="70DE4060"/>
    <w:rsid w:val="710D58AC"/>
    <w:rsid w:val="71761B9F"/>
    <w:rsid w:val="71FA13BB"/>
    <w:rsid w:val="720867EF"/>
    <w:rsid w:val="722C04C9"/>
    <w:rsid w:val="72CFC3FC"/>
    <w:rsid w:val="72EA28D9"/>
    <w:rsid w:val="72FF7D9B"/>
    <w:rsid w:val="731B16A2"/>
    <w:rsid w:val="73D040CE"/>
    <w:rsid w:val="73E4411B"/>
    <w:rsid w:val="745D6409"/>
    <w:rsid w:val="74995177"/>
    <w:rsid w:val="74AB4FE5"/>
    <w:rsid w:val="761F7F3A"/>
    <w:rsid w:val="76856420"/>
    <w:rsid w:val="76EF5746"/>
    <w:rsid w:val="77045574"/>
    <w:rsid w:val="770D6A93"/>
    <w:rsid w:val="77343076"/>
    <w:rsid w:val="774B0A1F"/>
    <w:rsid w:val="78014D8E"/>
    <w:rsid w:val="78432D95"/>
    <w:rsid w:val="786D7712"/>
    <w:rsid w:val="788A7FD7"/>
    <w:rsid w:val="78DC6412"/>
    <w:rsid w:val="79B33F8C"/>
    <w:rsid w:val="7A966109"/>
    <w:rsid w:val="7B101F55"/>
    <w:rsid w:val="7D396E2D"/>
    <w:rsid w:val="7D694E9E"/>
    <w:rsid w:val="7E1B40AE"/>
    <w:rsid w:val="7E3B1A79"/>
    <w:rsid w:val="7E830941"/>
    <w:rsid w:val="7F986626"/>
    <w:rsid w:val="7FBB6CEB"/>
    <w:rsid w:val="E9FD44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unhideWhenUsed/>
    <w:qFormat/>
    <w:uiPriority w:val="0"/>
    <w:rPr>
      <w:rFonts w:ascii="宋体"/>
      <w:sz w:val="18"/>
      <w:szCs w:val="18"/>
    </w:rPr>
  </w:style>
  <w:style w:type="paragraph" w:styleId="3">
    <w:name w:val="annotation text"/>
    <w:basedOn w:val="1"/>
    <w:link w:val="22"/>
    <w:unhideWhenUsed/>
    <w:qFormat/>
    <w:uiPriority w:val="0"/>
    <w:pPr>
      <w:jc w:val="left"/>
    </w:pPr>
  </w:style>
  <w:style w:type="paragraph" w:styleId="4">
    <w:name w:val="Body Text"/>
    <w:basedOn w:val="1"/>
    <w:link w:val="20"/>
    <w:qFormat/>
    <w:uiPriority w:val="0"/>
    <w:pPr>
      <w:adjustRightInd w:val="0"/>
      <w:jc w:val="left"/>
      <w:textAlignment w:val="baseline"/>
    </w:pPr>
    <w:rPr>
      <w:szCs w:val="20"/>
    </w:rPr>
  </w:style>
  <w:style w:type="paragraph" w:styleId="5">
    <w:name w:val="Balloon Text"/>
    <w:basedOn w:val="1"/>
    <w:link w:val="27"/>
    <w:semiHidden/>
    <w:qFormat/>
    <w:uiPriority w:val="0"/>
    <w:rPr>
      <w:sz w:val="18"/>
      <w:szCs w:val="18"/>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8"/>
    <w:semiHidden/>
    <w:qFormat/>
    <w:uiPriority w:val="0"/>
    <w:pPr>
      <w:snapToGrid w:val="0"/>
      <w:jc w:val="left"/>
    </w:pPr>
    <w:rPr>
      <w:sz w:val="18"/>
      <w:szCs w:val="18"/>
    </w:rPr>
  </w:style>
  <w:style w:type="paragraph" w:styleId="9">
    <w:name w:val="annotation subject"/>
    <w:basedOn w:val="3"/>
    <w:next w:val="3"/>
    <w:link w:val="23"/>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Theme"/>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character" w:styleId="17">
    <w:name w:val="annotation reference"/>
    <w:basedOn w:val="13"/>
    <w:unhideWhenUsed/>
    <w:qFormat/>
    <w:uiPriority w:val="0"/>
    <w:rPr>
      <w:sz w:val="21"/>
      <w:szCs w:val="21"/>
    </w:rPr>
  </w:style>
  <w:style w:type="character" w:styleId="18">
    <w:name w:val="footnote reference"/>
    <w:basedOn w:val="13"/>
    <w:semiHidden/>
    <w:qFormat/>
    <w:uiPriority w:val="0"/>
    <w:rPr>
      <w:vertAlign w:val="superscript"/>
    </w:rPr>
  </w:style>
  <w:style w:type="character" w:customStyle="1" w:styleId="19">
    <w:name w:val="页眉 Char"/>
    <w:basedOn w:val="13"/>
    <w:link w:val="7"/>
    <w:qFormat/>
    <w:uiPriority w:val="0"/>
    <w:rPr>
      <w:kern w:val="2"/>
      <w:sz w:val="18"/>
      <w:szCs w:val="18"/>
    </w:rPr>
  </w:style>
  <w:style w:type="character" w:customStyle="1" w:styleId="20">
    <w:name w:val="正文文本 Char"/>
    <w:basedOn w:val="13"/>
    <w:link w:val="4"/>
    <w:qFormat/>
    <w:uiPriority w:val="0"/>
    <w:rPr>
      <w:kern w:val="2"/>
      <w:sz w:val="21"/>
    </w:rPr>
  </w:style>
  <w:style w:type="paragraph" w:customStyle="1" w:styleId="21">
    <w:name w:val="列出段落1"/>
    <w:basedOn w:val="1"/>
    <w:qFormat/>
    <w:uiPriority w:val="34"/>
    <w:pPr>
      <w:ind w:firstLine="420" w:firstLineChars="200"/>
    </w:pPr>
  </w:style>
  <w:style w:type="character" w:customStyle="1" w:styleId="22">
    <w:name w:val="批注文字 Char"/>
    <w:basedOn w:val="13"/>
    <w:link w:val="3"/>
    <w:semiHidden/>
    <w:qFormat/>
    <w:uiPriority w:val="0"/>
    <w:rPr>
      <w:kern w:val="2"/>
      <w:sz w:val="21"/>
      <w:szCs w:val="24"/>
    </w:rPr>
  </w:style>
  <w:style w:type="character" w:customStyle="1" w:styleId="23">
    <w:name w:val="批注主题 Char"/>
    <w:basedOn w:val="22"/>
    <w:link w:val="9"/>
    <w:semiHidden/>
    <w:qFormat/>
    <w:uiPriority w:val="0"/>
    <w:rPr>
      <w:b/>
      <w:bCs/>
      <w:kern w:val="2"/>
      <w:sz w:val="21"/>
      <w:szCs w:val="24"/>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文档结构图 Char"/>
    <w:basedOn w:val="13"/>
    <w:link w:val="2"/>
    <w:semiHidden/>
    <w:qFormat/>
    <w:uiPriority w:val="0"/>
    <w:rPr>
      <w:rFonts w:ascii="宋体"/>
      <w:kern w:val="2"/>
      <w:sz w:val="18"/>
      <w:szCs w:val="18"/>
    </w:rPr>
  </w:style>
  <w:style w:type="character" w:customStyle="1" w:styleId="26">
    <w:name w:val="页脚 Char"/>
    <w:basedOn w:val="13"/>
    <w:link w:val="6"/>
    <w:qFormat/>
    <w:uiPriority w:val="0"/>
    <w:rPr>
      <w:kern w:val="2"/>
      <w:sz w:val="18"/>
      <w:szCs w:val="18"/>
    </w:rPr>
  </w:style>
  <w:style w:type="character" w:customStyle="1" w:styleId="27">
    <w:name w:val="批注框文本 Char"/>
    <w:basedOn w:val="13"/>
    <w:link w:val="5"/>
    <w:semiHidden/>
    <w:qFormat/>
    <w:uiPriority w:val="0"/>
    <w:rPr>
      <w:kern w:val="2"/>
      <w:sz w:val="18"/>
      <w:szCs w:val="18"/>
    </w:rPr>
  </w:style>
  <w:style w:type="character" w:customStyle="1" w:styleId="28">
    <w:name w:val="脚注文本 Char"/>
    <w:basedOn w:val="13"/>
    <w:link w:val="8"/>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1935</Words>
  <Characters>11031</Characters>
  <Lines>91</Lines>
  <Paragraphs>25</Paragraphs>
  <TotalTime>22</TotalTime>
  <ScaleCrop>false</ScaleCrop>
  <LinksUpToDate>false</LinksUpToDate>
  <CharactersWithSpaces>12941</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2021-03-05T03:55:00Z</dcterms:created>
  <dc:creator>zm</dc:creator>
  <cp:lastModifiedBy>user</cp:lastModifiedBy>
  <cp:lastPrinted>2021-03-10T08:15:00Z</cp:lastPrinted>
  <dcterms:modified xsi:type="dcterms:W3CDTF">2021-06-02T11:00:11Z</dcterms:modified>
  <dc:title>签     报</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