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center"/>
        <w:rPr>
          <w:rFonts w:hint="eastAsia" w:ascii="方正小标宋简体" w:hAnsi="Arial" w:eastAsia="方正小标宋简体" w:cs="Arial"/>
          <w:color w:val="000000"/>
          <w:kern w:val="0"/>
          <w:sz w:val="44"/>
          <w:szCs w:val="44"/>
        </w:rPr>
      </w:pPr>
    </w:p>
    <w:p>
      <w:pPr>
        <w:widowControl/>
        <w:spacing w:line="600" w:lineRule="exact"/>
        <w:jc w:val="center"/>
        <w:rPr>
          <w:rFonts w:hint="eastAsia" w:ascii="方正小标宋简体" w:hAnsi="Arial" w:eastAsia="方正小标宋简体" w:cs="Arial"/>
          <w:color w:val="000000"/>
          <w:kern w:val="0"/>
          <w:sz w:val="44"/>
          <w:szCs w:val="44"/>
        </w:rPr>
      </w:pPr>
      <w:r>
        <w:rPr>
          <w:rFonts w:hint="eastAsia" w:ascii="方正小标宋简体" w:hAnsi="Arial" w:eastAsia="方正小标宋简体" w:cs="Arial"/>
          <w:color w:val="000000"/>
          <w:kern w:val="0"/>
          <w:sz w:val="44"/>
          <w:szCs w:val="44"/>
        </w:rPr>
        <w:t>2020年省财政厅政府信息公开</w:t>
      </w:r>
    </w:p>
    <w:p>
      <w:pPr>
        <w:widowControl/>
        <w:spacing w:line="600" w:lineRule="exact"/>
        <w:jc w:val="center"/>
        <w:rPr>
          <w:rFonts w:hint="eastAsia" w:ascii="方正小标宋简体" w:hAnsi="Arial" w:eastAsia="方正小标宋简体" w:cs="Arial"/>
          <w:color w:val="000000"/>
          <w:kern w:val="0"/>
          <w:sz w:val="44"/>
          <w:szCs w:val="44"/>
        </w:rPr>
      </w:pPr>
      <w:r>
        <w:rPr>
          <w:rFonts w:hint="eastAsia" w:ascii="方正小标宋简体" w:hAnsi="Arial" w:eastAsia="方正小标宋简体" w:cs="Arial"/>
          <w:color w:val="000000"/>
          <w:kern w:val="0"/>
          <w:sz w:val="44"/>
          <w:szCs w:val="44"/>
        </w:rPr>
        <w:t>工作年度报告</w:t>
      </w:r>
    </w:p>
    <w:p>
      <w:pPr>
        <w:widowControl/>
        <w:spacing w:line="600" w:lineRule="exact"/>
        <w:ind w:firstLine="435"/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</w:pPr>
    </w:p>
    <w:p>
      <w:pPr>
        <w:widowControl/>
        <w:spacing w:line="600" w:lineRule="exact"/>
        <w:ind w:firstLine="435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本报告根据《中华人民共和国政府信息公开条例》（国务院令第711号，以下简称《条例》）和《山东省政府信息公开办法》（省政府令第225号，以下简称《办法》）编制。报告所列数据统计期限为2020年1月1日至 2020年12月31日。报告可从厅门户网站（http://czt.shandong.gov.cn/</w:t>
      </w:r>
      <w:bookmarkStart w:id="0" w:name="_GoBack"/>
      <w:bookmarkEnd w:id="0"/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）查询。如对本年度报告有任何疑问，请与省财政厅办公室联系（地址：山东省济南市市中区济大路3号；邮编：250002；电话：0531—82669647；传真：0531—82929449；电子邮箱：</w:t>
      </w:r>
      <w:r>
        <w:fldChar w:fldCharType="begin"/>
      </w:r>
      <w:r>
        <w:instrText xml:space="preserve"> HYPERLINK "mailto:sdczxxgk@163.com" </w:instrText>
      </w:r>
      <w:r>
        <w:fldChar w:fldCharType="separate"/>
      </w:r>
      <w:r>
        <w:rPr>
          <w:rStyle w:val="6"/>
          <w:rFonts w:hint="eastAsia" w:ascii="仿宋_GB2312" w:hAnsi="Arial" w:eastAsia="仿宋_GB2312" w:cs="Arial"/>
          <w:kern w:val="0"/>
          <w:sz w:val="32"/>
          <w:szCs w:val="32"/>
        </w:rPr>
        <w:t>sdczxxgk</w:t>
      </w:r>
      <w:r>
        <w:rPr>
          <w:rStyle w:val="6"/>
          <w:rFonts w:hint="eastAsia" w:ascii="仿宋_GB2312" w:eastAsia="仿宋_GB2312"/>
          <w:kern w:val="0"/>
          <w:sz w:val="32"/>
          <w:szCs w:val="32"/>
        </w:rPr>
        <w:t>@</w:t>
      </w:r>
      <w:r>
        <w:rPr>
          <w:rStyle w:val="6"/>
          <w:rFonts w:hint="eastAsia" w:ascii="仿宋_GB2312" w:hAnsi="Arial" w:eastAsia="仿宋_GB2312" w:cs="Arial"/>
          <w:kern w:val="0"/>
          <w:sz w:val="32"/>
          <w:szCs w:val="32"/>
        </w:rPr>
        <w:t>163.com</w:t>
      </w:r>
      <w:r>
        <w:rPr>
          <w:rStyle w:val="6"/>
          <w:rFonts w:hint="eastAsia" w:ascii="仿宋_GB2312" w:hAnsi="Arial" w:eastAsia="仿宋_GB2312" w:cs="Arial"/>
          <w:kern w:val="0"/>
          <w:sz w:val="32"/>
          <w:szCs w:val="32"/>
        </w:rPr>
        <w:fldChar w:fldCharType="end"/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）。</w:t>
      </w:r>
    </w:p>
    <w:p>
      <w:pPr>
        <w:widowControl/>
        <w:spacing w:line="600" w:lineRule="exact"/>
        <w:ind w:firstLine="640" w:firstLineChars="200"/>
        <w:rPr>
          <w:rFonts w:ascii="黑体" w:hAnsi="黑体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kern w:val="0"/>
          <w:sz w:val="32"/>
          <w:szCs w:val="32"/>
        </w:rPr>
        <w:t>一、总体情况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2020年，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省财政厅以习近平新时代中国特色社会主义思想为指导，深入贯彻党的十九大和十九届二中、三中、四中、五中全会精神，认真落实省政府关于推进政务公开工作的部署要求，坚持“以公开为常态，不公开为例外”工作理念，</w:t>
      </w:r>
      <w:r>
        <w:rPr>
          <w:rFonts w:hint="eastAsia" w:ascii="仿宋_GB2312" w:eastAsia="仿宋_GB2312"/>
          <w:sz w:val="32"/>
          <w:szCs w:val="32"/>
        </w:rPr>
        <w:t>紧扣“发布、解读、回应、互动”四大主题，持续扩大公开范围，丰富公开内容，不断推动财政政务公开工作向纵深拓展。在省政府组织的政务公开工作考核评估中连续三年获优秀等次。</w:t>
      </w:r>
    </w:p>
    <w:p>
      <w:pPr>
        <w:overflowPunct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（一）强化组织领导，提高公开意识。</w:t>
      </w:r>
      <w:r>
        <w:rPr>
          <w:rFonts w:hint="eastAsia" w:ascii="仿宋_GB2312" w:hAnsi="微软雅黑" w:eastAsia="仿宋_GB2312"/>
          <w:sz w:val="32"/>
          <w:szCs w:val="32"/>
        </w:rPr>
        <w:t>在工作中做到“三个加强”，努力打造各负其责、密切配合，一级抓一级、层层抓落实的工作格局。</w:t>
      </w:r>
      <w:r>
        <w:rPr>
          <w:rFonts w:hint="eastAsia" w:ascii="仿宋_GB2312" w:hAnsi="仿宋" w:eastAsia="仿宋_GB2312"/>
          <w:b/>
          <w:sz w:val="32"/>
          <w:szCs w:val="32"/>
        </w:rPr>
        <w:t>一是加强组织领导。</w:t>
      </w:r>
      <w:r>
        <w:rPr>
          <w:rFonts w:hint="eastAsia" w:ascii="仿宋_GB2312" w:hAnsi="微软雅黑" w:eastAsia="仿宋_GB2312"/>
          <w:sz w:val="32"/>
          <w:szCs w:val="32"/>
        </w:rPr>
        <w:t>厅党组始终把政务公开工作作为“一把手”工程，成立了厅主要负责同志任组长的政务公开领导小组。厅办公室作为牵头处室，安排1人专职负责日常组织协调工作。各处室主要负责同志对处室政务公开工作负主责，厅内每个处室和各市、县财政局都确定一名联络员负责具体落实，确保信息公开工作横向到边、纵向到底。</w:t>
      </w:r>
      <w:r>
        <w:rPr>
          <w:rFonts w:hint="eastAsia" w:ascii="仿宋_GB2312" w:hAnsi="微软雅黑" w:eastAsia="仿宋_GB2312"/>
          <w:b/>
          <w:sz w:val="32"/>
          <w:szCs w:val="32"/>
        </w:rPr>
        <w:t>二是加强目标引领。</w:t>
      </w:r>
      <w:r>
        <w:rPr>
          <w:rFonts w:hint="eastAsia" w:ascii="仿宋_GB2312" w:hAnsi="微软雅黑" w:eastAsia="仿宋_GB2312"/>
          <w:sz w:val="32"/>
          <w:szCs w:val="32"/>
        </w:rPr>
        <w:t>印发年度政务公开工作要点，突出重点，细化任务，保障全年工作扎实推进。修订完善厅机关政务公开内部控制制度，明确政务公开工作流程、风险点、风险等级和责任人，推动政务公开工作规范运行。将政务公开工作纳入厅机关绩效考核，进一步提升财政信息公开工作的落实力度。</w:t>
      </w:r>
      <w:r>
        <w:rPr>
          <w:rFonts w:hint="eastAsia" w:ascii="仿宋_GB2312" w:hAnsi="微软雅黑" w:eastAsia="仿宋_GB2312"/>
          <w:b/>
          <w:sz w:val="32"/>
          <w:szCs w:val="32"/>
        </w:rPr>
        <w:t>三是加强认识提升。</w:t>
      </w:r>
      <w:r>
        <w:rPr>
          <w:rFonts w:hint="eastAsia" w:ascii="仿宋_GB2312" w:hAnsi="微软雅黑" w:eastAsia="仿宋_GB2312"/>
          <w:sz w:val="32"/>
          <w:szCs w:val="32"/>
        </w:rPr>
        <w:t>编写《财政信息依申请公开工作主要文书示范文本》等资料，整理《政务公开文件汇编》，将政务公开和网站管理等方面的38个政策文件，分6大类梳理成册，印发主要业务处室具体工作同志，消除不敢公开、不愿公开的思想顾虑，提升了财政干部的信息公开意识。</w:t>
      </w:r>
    </w:p>
    <w:p>
      <w:pPr>
        <w:overflowPunct w:val="0"/>
        <w:spacing w:line="600" w:lineRule="exact"/>
        <w:ind w:firstLine="640" w:firstLineChars="200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（二）突出重点领域，细化公开内容。</w:t>
      </w:r>
      <w:r>
        <w:rPr>
          <w:rFonts w:hint="eastAsia" w:ascii="仿宋_GB2312" w:hAnsi="微软雅黑" w:eastAsia="仿宋_GB2312"/>
          <w:sz w:val="32"/>
          <w:szCs w:val="32"/>
        </w:rPr>
        <w:t>聚焦中心工作和重点领域，拓展公开广度和深度，不断增强政务公开实效。</w:t>
      </w:r>
    </w:p>
    <w:p>
      <w:pPr>
        <w:overflowPunct w:val="0"/>
        <w:spacing w:line="600" w:lineRule="exact"/>
        <w:ind w:firstLine="643" w:firstLineChars="200"/>
        <w:rPr>
          <w:rFonts w:hint="eastAsia" w:ascii="仿宋_GB2312" w:hAnsi="仿宋" w:eastAsia="仿宋_GB2312"/>
          <w:sz w:val="32"/>
          <w:szCs w:val="21"/>
        </w:rPr>
      </w:pPr>
      <w:r>
        <w:rPr>
          <w:rFonts w:hint="eastAsia" w:ascii="仿宋_GB2312" w:hAnsi="仿宋" w:eastAsia="仿宋_GB2312"/>
          <w:b/>
          <w:sz w:val="32"/>
          <w:szCs w:val="21"/>
        </w:rPr>
        <w:t>1.推进预决算信息公开。</w:t>
      </w:r>
      <w:r>
        <w:rPr>
          <w:rFonts w:hint="eastAsia" w:ascii="仿宋_GB2312" w:hAnsi="仿宋" w:eastAsia="仿宋_GB2312"/>
          <w:sz w:val="32"/>
          <w:szCs w:val="21"/>
        </w:rPr>
        <w:t>在厅门户网站开设“山东省预决算公开平台”，今年相继公开了113个省直部门的预算和决算信息，这是自2013年省直部门首“晒”账本以来，连续第7年向社会公开预决算信息。同时，</w:t>
      </w:r>
      <w:r>
        <w:rPr>
          <w:rFonts w:hint="eastAsia" w:ascii="仿宋_GB2312" w:eastAsia="仿宋_GB2312"/>
          <w:sz w:val="32"/>
          <w:szCs w:val="32"/>
        </w:rPr>
        <w:t>以“全口径”公开为目标，加快构建全面完整的预决算公开体系，</w:t>
      </w:r>
      <w:r>
        <w:rPr>
          <w:rFonts w:hint="eastAsia" w:ascii="仿宋_GB2312" w:hAnsi="仿宋" w:eastAsia="仿宋_GB2312"/>
          <w:sz w:val="32"/>
          <w:szCs w:val="21"/>
        </w:rPr>
        <w:t>目前省、市、县三级均已全面公开了政府预决算、部门预决算、“三公”经费预决算、政府债务、专项资金管理等信息，实现了预决算信息公开范围全覆盖。</w:t>
      </w:r>
    </w:p>
    <w:p>
      <w:pPr>
        <w:overflowPunct w:val="0"/>
        <w:spacing w:line="600" w:lineRule="exact"/>
        <w:ind w:firstLine="643" w:firstLineChars="200"/>
        <w:rPr>
          <w:rFonts w:hint="eastAsia" w:ascii="仿宋_GB2312" w:hAnsi="仿宋" w:eastAsia="仿宋_GB2312"/>
          <w:sz w:val="32"/>
          <w:szCs w:val="21"/>
        </w:rPr>
      </w:pPr>
      <w:r>
        <w:rPr>
          <w:rFonts w:hint="eastAsia" w:ascii="楷体_GB2312" w:hAnsi="微软雅黑" w:eastAsia="楷体_GB2312"/>
          <w:b/>
          <w:sz w:val="32"/>
          <w:szCs w:val="32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629920</wp:posOffset>
            </wp:positionH>
            <wp:positionV relativeFrom="paragraph">
              <wp:posOffset>61595</wp:posOffset>
            </wp:positionV>
            <wp:extent cx="3881755" cy="2861945"/>
            <wp:effectExtent l="9525" t="9525" r="0" b="0"/>
            <wp:wrapThrough wrapText="bothSides">
              <wp:wrapPolygon>
                <wp:start x="-53" y="-72"/>
                <wp:lineTo x="-53" y="21437"/>
                <wp:lineTo x="21392" y="21437"/>
                <wp:lineTo x="21392" y="-72"/>
                <wp:lineTo x="-53" y="-72"/>
              </wp:wrapPolygon>
            </wp:wrapThrough>
            <wp:docPr id="126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0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1755" cy="28619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overflowPunct w:val="0"/>
        <w:spacing w:line="600" w:lineRule="exact"/>
        <w:ind w:firstLine="640" w:firstLineChars="200"/>
        <w:rPr>
          <w:rFonts w:hint="eastAsia" w:ascii="仿宋_GB2312" w:hAnsi="仿宋" w:eastAsia="仿宋_GB2312"/>
          <w:sz w:val="32"/>
          <w:szCs w:val="21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仿宋_GB2312" w:hAnsi="仿宋" w:eastAsia="仿宋_GB2312"/>
          <w:sz w:val="32"/>
          <w:szCs w:val="21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仿宋_GB2312" w:hAnsi="仿宋" w:eastAsia="仿宋_GB2312"/>
          <w:sz w:val="32"/>
          <w:szCs w:val="21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仿宋_GB2312" w:hAnsi="仿宋" w:eastAsia="仿宋_GB2312"/>
          <w:sz w:val="32"/>
          <w:szCs w:val="21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仿宋_GB2312" w:hAnsi="仿宋" w:eastAsia="仿宋_GB2312"/>
          <w:sz w:val="32"/>
          <w:szCs w:val="21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仿宋_GB2312" w:hAnsi="仿宋" w:eastAsia="仿宋_GB2312"/>
          <w:sz w:val="32"/>
          <w:szCs w:val="21"/>
        </w:rPr>
      </w:pPr>
    </w:p>
    <w:p>
      <w:pPr>
        <w:overflowPunct w:val="0"/>
        <w:spacing w:line="600" w:lineRule="exact"/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</w:p>
    <w:p>
      <w:pPr>
        <w:overflowPunct w:val="0"/>
        <w:spacing w:line="600" w:lineRule="exact"/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2.推进疫情防控政策信息公开。</w:t>
      </w:r>
      <w:r>
        <w:rPr>
          <w:rFonts w:hint="eastAsia" w:ascii="仿宋_GB2312" w:eastAsia="仿宋_GB2312"/>
          <w:sz w:val="32"/>
          <w:szCs w:val="32"/>
        </w:rPr>
        <w:t>发布《支持疫情防控和经济社会发展财税政策落实操作指南》，涉及减税降费、稳岗返还、社保补贴等88项具体措施，便于企业快速获取政策“干货”。编制公布《财政惠民利企政策清单》，对205项惠民利企政策逐项列明政策名称、政策要点、责任处室、服务电话等，做到为民服务“一单清”。为更好地宣讲政策，高标准选派16个“服务队”，分别赴省属企业和各市开展实地走访服务，并要求各市同步组织所属县区开展“送政策上门服务企业”活动，推动优惠政策“应知尽知，应享尽享”。</w:t>
      </w:r>
    </w:p>
    <w:p>
      <w:pPr>
        <w:overflowPunct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-179070</wp:posOffset>
            </wp:positionH>
            <wp:positionV relativeFrom="paragraph">
              <wp:posOffset>178435</wp:posOffset>
            </wp:positionV>
            <wp:extent cx="2746375" cy="1951355"/>
            <wp:effectExtent l="9525" t="9525" r="18415" b="14605"/>
            <wp:wrapNone/>
            <wp:docPr id="139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1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6375" cy="19513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宋体"/>
          <w:kern w:val="0"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2714625</wp:posOffset>
            </wp:positionH>
            <wp:positionV relativeFrom="paragraph">
              <wp:posOffset>185420</wp:posOffset>
            </wp:positionV>
            <wp:extent cx="2834005" cy="1948815"/>
            <wp:effectExtent l="9525" t="9525" r="17145" b="17145"/>
            <wp:wrapNone/>
            <wp:docPr id="141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1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4005" cy="19488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overflowPunct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overflowPunct w:val="0"/>
        <w:spacing w:line="600" w:lineRule="exact"/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</w:p>
    <w:p>
      <w:pPr>
        <w:overflowPunct w:val="0"/>
        <w:spacing w:line="600" w:lineRule="exact"/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</w:p>
    <w:p>
      <w:pPr>
        <w:overflowPunct w:val="0"/>
        <w:spacing w:line="600" w:lineRule="exact"/>
        <w:ind w:firstLine="420" w:firstLineChars="200"/>
        <w:rPr>
          <w:rFonts w:hint="eastAsia" w:ascii="仿宋_GB2312" w:eastAsia="仿宋_GB2312"/>
          <w:b/>
          <w:sz w:val="32"/>
          <w:szCs w:val="32"/>
        </w:rPr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508000</wp:posOffset>
            </wp:positionH>
            <wp:positionV relativeFrom="paragraph">
              <wp:posOffset>27940</wp:posOffset>
            </wp:positionV>
            <wp:extent cx="4188460" cy="3498215"/>
            <wp:effectExtent l="9525" t="9525" r="12065" b="11430"/>
            <wp:wrapNone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8460" cy="34982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overflowPunct w:val="0"/>
        <w:spacing w:line="600" w:lineRule="exact"/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</w:p>
    <w:p>
      <w:pPr>
        <w:overflowPunct w:val="0"/>
        <w:spacing w:line="600" w:lineRule="exact"/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</w:p>
    <w:p>
      <w:pPr>
        <w:overflowPunct w:val="0"/>
        <w:spacing w:line="600" w:lineRule="exact"/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</w:p>
    <w:p>
      <w:pPr>
        <w:overflowPunct w:val="0"/>
        <w:spacing w:line="600" w:lineRule="exact"/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</w:p>
    <w:p>
      <w:pPr>
        <w:overflowPunct w:val="0"/>
        <w:spacing w:line="600" w:lineRule="exact"/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</w:p>
    <w:p>
      <w:pPr>
        <w:overflowPunct w:val="0"/>
        <w:spacing w:line="600" w:lineRule="exact"/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</w:p>
    <w:p>
      <w:pPr>
        <w:overflowPunct w:val="0"/>
        <w:spacing w:line="600" w:lineRule="exact"/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</w:p>
    <w:p>
      <w:pPr>
        <w:overflowPunct w:val="0"/>
        <w:spacing w:line="600" w:lineRule="exact"/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</w:p>
    <w:p>
      <w:pPr>
        <w:overflowPunct w:val="0"/>
        <w:spacing w:line="600" w:lineRule="exact"/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</w:p>
    <w:p>
      <w:pPr>
        <w:overflowPunct w:val="0"/>
        <w:spacing w:line="600" w:lineRule="exact"/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3.推进减税降费信息公开。</w:t>
      </w:r>
      <w:r>
        <w:rPr>
          <w:rFonts w:hint="eastAsia" w:ascii="仿宋_GB2312" w:hAnsi="仿宋" w:eastAsia="仿宋_GB2312"/>
          <w:sz w:val="32"/>
          <w:szCs w:val="21"/>
        </w:rPr>
        <w:t>围绕促进疫情防控和复工复产、保障和改善民生等方面的税收政策，做到</w:t>
      </w:r>
      <w:r>
        <w:rPr>
          <w:rFonts w:hint="eastAsia" w:ascii="仿宋_GB2312" w:eastAsia="仿宋_GB2312"/>
          <w:sz w:val="32"/>
          <w:szCs w:val="32"/>
        </w:rPr>
        <w:t>“漫灌式”宣传和“滴灌式”辅导相结合，既借力报刊、网络等媒体策划减税降费专题报道，又组建减税降费咨询团队提供“一对一”服务，有效扩大政策知晓面</w:t>
      </w:r>
      <w:r>
        <w:rPr>
          <w:rFonts w:hint="eastAsia" w:ascii="仿宋_GB2312" w:hAnsi="仿宋" w:eastAsia="仿宋_GB2312"/>
          <w:sz w:val="32"/>
          <w:szCs w:val="21"/>
        </w:rPr>
        <w:t>。</w:t>
      </w:r>
      <w:r>
        <w:rPr>
          <w:rFonts w:hint="eastAsia" w:ascii="仿宋_GB2312" w:eastAsia="仿宋_GB2312"/>
          <w:sz w:val="32"/>
          <w:szCs w:val="32"/>
        </w:rPr>
        <w:t>同时，编制《行政事业性收费目录清单》《政府性基金目录清单》等目录清单，将省市县三级收费项目全部纳入“一张网”，今年以来已对目录清单进行了5次动态更新，努力打造“阳光收费”。</w:t>
      </w:r>
    </w:p>
    <w:p>
      <w:pPr>
        <w:overflowPunct w:val="0"/>
        <w:spacing w:line="600" w:lineRule="exact"/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hAnsi="微软雅黑" w:eastAsia="楷体_GB2312"/>
          <w:b/>
          <w:sz w:val="32"/>
          <w:szCs w:val="3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516890</wp:posOffset>
            </wp:positionH>
            <wp:positionV relativeFrom="paragraph">
              <wp:posOffset>143510</wp:posOffset>
            </wp:positionV>
            <wp:extent cx="4192905" cy="2733675"/>
            <wp:effectExtent l="9525" t="9525" r="0" b="0"/>
            <wp:wrapThrough wrapText="bothSides">
              <wp:wrapPolygon>
                <wp:start x="-49" y="-75"/>
                <wp:lineTo x="-49" y="21419"/>
                <wp:lineTo x="21417" y="21419"/>
                <wp:lineTo x="21417" y="-75"/>
                <wp:lineTo x="-49" y="-75"/>
              </wp:wrapPolygon>
            </wp:wrapThrough>
            <wp:docPr id="144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1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2905" cy="2733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overflowPunct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overflowPunct w:val="0"/>
        <w:spacing w:line="600" w:lineRule="exact"/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</w:p>
    <w:p>
      <w:pPr>
        <w:numPr>
          <w:ilvl w:val="0"/>
          <w:numId w:val="1"/>
        </w:numPr>
        <w:overflowPunct w:val="0"/>
        <w:spacing w:line="600" w:lineRule="exact"/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推进预算绩效信息公开。</w:t>
      </w:r>
      <w:r>
        <w:rPr>
          <w:rFonts w:hint="eastAsia" w:ascii="仿宋_GB2312" w:eastAsia="仿宋_GB2312"/>
          <w:sz w:val="32"/>
          <w:szCs w:val="32"/>
        </w:rPr>
        <w:t>今年，共有106个省级部门随预算公开了226个项目专项资金绩效目标。其中，省级专项资金绩效目标实现了全部公开，绩效目标公开的部门数量和专项资金规模较去年均明显提升。同时，通过厅门户网站向社会主动公开了37个财政重点支出项目绩效评价报告，并组织所有省直部门，首次公开3897个部门预算项目的绩效自评得分和等级，实现了部门和项目公开双覆盖。</w:t>
      </w:r>
    </w:p>
    <w:p>
      <w:pPr>
        <w:widowControl w:val="0"/>
        <w:numPr>
          <w:ilvl w:val="0"/>
          <w:numId w:val="0"/>
        </w:numPr>
        <w:overflowPunct w:val="0"/>
        <w:spacing w:line="600" w:lineRule="exact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130810</wp:posOffset>
            </wp:positionV>
            <wp:extent cx="4423410" cy="2668905"/>
            <wp:effectExtent l="9525" t="9525" r="14605" b="9525"/>
            <wp:wrapNone/>
            <wp:docPr id="137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3410" cy="26689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widowControl w:val="0"/>
        <w:numPr>
          <w:ilvl w:val="0"/>
          <w:numId w:val="0"/>
        </w:numPr>
        <w:overflowPunct w:val="0"/>
        <w:spacing w:line="600" w:lineRule="exact"/>
        <w:jc w:val="both"/>
        <w:rPr>
          <w:rFonts w:hint="eastAsia" w:ascii="仿宋_GB2312" w:eastAsia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overflowPunct w:val="0"/>
        <w:spacing w:line="600" w:lineRule="exact"/>
        <w:jc w:val="both"/>
        <w:rPr>
          <w:rFonts w:hint="eastAsia" w:ascii="仿宋_GB2312" w:eastAsia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overflowPunct w:val="0"/>
        <w:spacing w:line="600" w:lineRule="exact"/>
        <w:jc w:val="both"/>
        <w:rPr>
          <w:rFonts w:hint="eastAsia" w:ascii="仿宋_GB2312" w:eastAsia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overflowPunct w:val="0"/>
        <w:spacing w:line="600" w:lineRule="exact"/>
        <w:jc w:val="both"/>
        <w:rPr>
          <w:rFonts w:hint="eastAsia" w:ascii="仿宋_GB2312" w:eastAsia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overflowPunct w:val="0"/>
        <w:spacing w:line="600" w:lineRule="exact"/>
        <w:jc w:val="both"/>
        <w:rPr>
          <w:rFonts w:hint="eastAsia" w:ascii="仿宋_GB2312" w:eastAsia="仿宋_GB2312"/>
          <w:sz w:val="32"/>
          <w:szCs w:val="32"/>
        </w:rPr>
      </w:pPr>
    </w:p>
    <w:p>
      <w:pPr>
        <w:overflowPunct w:val="0"/>
        <w:spacing w:line="600" w:lineRule="exact"/>
        <w:ind w:firstLine="643" w:firstLineChars="200"/>
        <w:rPr>
          <w:rFonts w:hint="eastAsia" w:ascii="仿宋_GB2312" w:eastAsia="仿宋_GB2312"/>
          <w:b/>
          <w:sz w:val="32"/>
          <w:szCs w:val="21"/>
        </w:rPr>
      </w:pPr>
    </w:p>
    <w:p>
      <w:pPr>
        <w:overflowPunct w:val="0"/>
        <w:spacing w:line="60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21"/>
        </w:rPr>
        <w:t>5.推进政府采购信息公开。</w:t>
      </w:r>
      <w:r>
        <w:rPr>
          <w:rFonts w:hint="eastAsia" w:ascii="仿宋_GB2312" w:eastAsia="仿宋_GB2312"/>
          <w:sz w:val="32"/>
          <w:szCs w:val="21"/>
        </w:rPr>
        <w:t>全面执行采购需求、采购文件、采购预算、采购结果、采购合同、履约验收“六公开”制度，推动实现采购活动全流程公开透明，提高政府采购社会公信力。今年以来，仅省级就公开采购需求3468条，采购预算、采购文件5315条，采购结果5826条，采购合同15681条，履约验收2001条。</w:t>
      </w:r>
      <w:r>
        <w:rPr>
          <w:rFonts w:hint="eastAsia" w:ascii="仿宋_GB2312" w:eastAsia="仿宋_GB2312"/>
          <w:sz w:val="32"/>
          <w:szCs w:val="32"/>
        </w:rPr>
        <w:t>为规范信息公开标准，今年优化调整了《政府采购公告和公示信息格式规范（2020年版）》，将供应商应知尽知情形全部予以公开，进一步提高政府采购各参与主体的规范程度。</w:t>
      </w:r>
    </w:p>
    <w:p>
      <w:pPr>
        <w:overflowPunct w:val="0"/>
        <w:spacing w:line="60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6.推进财政“放管服”改革信息公开。</w:t>
      </w:r>
      <w:r>
        <w:rPr>
          <w:rFonts w:hint="eastAsia" w:ascii="仿宋_GB2312" w:eastAsia="仿宋_GB2312"/>
          <w:sz w:val="32"/>
          <w:szCs w:val="32"/>
        </w:rPr>
        <w:t>全面梳理财政权责事项，逐项分类登记、厘清界限，形成《山东省财政系统权责清单（2020年版）》，明确界定财政6大类行政职权、42项行政权责事项，通过厅门户网站及时主动公开，广泛接受社会监督。为更好地服务便民，在厅门户网站首页开设“财政政策业务咨询”栏目，实现“网民一个口子提问，我厅一个口子办理”。针对网民反映集中的会计职称考试、政府采购、税费缴纳等方面问题，设置不同模块，从入口环节即帮助网民作出选择，优化用户体验；梳理汇总提问率高、关注度高的问题，设置“热点问题”板块，方便网民浏览查阅。</w:t>
      </w:r>
    </w:p>
    <w:p>
      <w:pPr>
        <w:overflowPunct w:val="0"/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（三）加强平台建设，拓宽公开渠道。</w:t>
      </w:r>
      <w:r>
        <w:rPr>
          <w:rFonts w:hint="eastAsia" w:ascii="仿宋_GB2312" w:hAnsi="黑体" w:eastAsia="仿宋_GB2312"/>
          <w:sz w:val="32"/>
          <w:szCs w:val="32"/>
        </w:rPr>
        <w:t>统筹运用厅门户网站、新闻媒体、“两微一端”等多种形式，打造全媒体、立体化政务公开渠道。</w:t>
      </w:r>
      <w:r>
        <w:rPr>
          <w:rFonts w:hint="eastAsia" w:ascii="仿宋_GB2312" w:eastAsia="仿宋_GB2312"/>
          <w:b/>
          <w:sz w:val="32"/>
          <w:szCs w:val="32"/>
        </w:rPr>
        <w:t>一是用好门户网站。</w:t>
      </w:r>
      <w:r>
        <w:rPr>
          <w:rFonts w:hint="eastAsia" w:ascii="仿宋_GB2312" w:eastAsia="仿宋_GB2312"/>
          <w:sz w:val="32"/>
          <w:szCs w:val="32"/>
        </w:rPr>
        <w:t>以信息发布、解读回应、互动交流为重点，不断优化厅门户网站栏目设置，强化信息搜索、办事服务和无障碍浏览功能，提升网站的信息公开主渠道效应。加强网站集约化建设，将全省非税收入统缴平台与厅门户网站实现对接，个人或企业登录厅门户网站即可实现线上缴费，财政服务水平不断提升。今年以来，通过厅门户网站公开各类信息5000余条，借助财政部门户网站“地方新闻联播栏目”发布财政新闻900余条；累计办理厅门户网站“业务咨询”400余件，受理省政府“政务服务网”办事咨询来件208件。</w:t>
      </w:r>
      <w:r>
        <w:rPr>
          <w:rFonts w:hint="eastAsia" w:ascii="仿宋_GB2312" w:eastAsia="仿宋_GB2312"/>
          <w:b/>
          <w:sz w:val="32"/>
          <w:szCs w:val="32"/>
        </w:rPr>
        <w:t>二是借力新闻媒体。</w:t>
      </w:r>
      <w:r>
        <w:rPr>
          <w:rFonts w:hint="eastAsia" w:ascii="仿宋_GB2312" w:eastAsia="仿宋_GB2312"/>
          <w:sz w:val="32"/>
          <w:szCs w:val="32"/>
        </w:rPr>
        <w:t>围绕“八大发展战略”和打好财政攻坚“十场硬仗”，策划多个重点新闻宣传选题，积极争取在人民日报、新华社等重点媒体刊发，不断提高财政工作影响力。今年以来，已在省级以上重点新闻媒体采用报道</w:t>
      </w:r>
      <w:r>
        <w:rPr>
          <w:rFonts w:ascii="仿宋_GB2312" w:eastAsia="仿宋_GB2312"/>
          <w:sz w:val="32"/>
          <w:szCs w:val="32"/>
        </w:rPr>
        <w:t>5900</w:t>
      </w:r>
      <w:r>
        <w:rPr>
          <w:rFonts w:hint="eastAsia" w:ascii="仿宋_GB2312" w:eastAsia="仿宋_GB2312"/>
          <w:sz w:val="32"/>
          <w:szCs w:val="32"/>
        </w:rPr>
        <w:t>条次。其中，新华社、《人民日报》《经济日报》等中央媒体采用</w:t>
      </w:r>
      <w:r>
        <w:rPr>
          <w:rFonts w:ascii="仿宋_GB2312" w:eastAsia="仿宋_GB2312"/>
          <w:sz w:val="32"/>
          <w:szCs w:val="32"/>
        </w:rPr>
        <w:t>215</w:t>
      </w:r>
      <w:r>
        <w:rPr>
          <w:rFonts w:hint="eastAsia" w:ascii="仿宋_GB2312" w:eastAsia="仿宋_GB2312"/>
          <w:sz w:val="32"/>
          <w:szCs w:val="32"/>
        </w:rPr>
        <w:t>条次，财政部网站、《中国财经报》《中国财政》采用</w:t>
      </w:r>
      <w:r>
        <w:rPr>
          <w:rFonts w:ascii="仿宋_GB2312" w:eastAsia="仿宋_GB2312"/>
          <w:sz w:val="32"/>
          <w:szCs w:val="32"/>
        </w:rPr>
        <w:t>342</w:t>
      </w:r>
      <w:r>
        <w:rPr>
          <w:rFonts w:hint="eastAsia" w:ascii="仿宋_GB2312" w:eastAsia="仿宋_GB2312"/>
          <w:sz w:val="32"/>
          <w:szCs w:val="32"/>
        </w:rPr>
        <w:t>条次，《山东政事》采用</w:t>
      </w:r>
      <w:r>
        <w:rPr>
          <w:rFonts w:ascii="仿宋_GB2312" w:eastAsia="仿宋_GB2312"/>
          <w:sz w:val="32"/>
          <w:szCs w:val="32"/>
        </w:rPr>
        <w:t>115</w:t>
      </w:r>
      <w:r>
        <w:rPr>
          <w:rFonts w:hint="eastAsia" w:ascii="仿宋_GB2312" w:eastAsia="仿宋_GB2312"/>
          <w:sz w:val="32"/>
          <w:szCs w:val="32"/>
        </w:rPr>
        <w:t>条次，《大众日报》采用</w:t>
      </w:r>
      <w:r>
        <w:rPr>
          <w:rFonts w:ascii="仿宋_GB2312" w:eastAsia="仿宋_GB2312"/>
          <w:sz w:val="32"/>
          <w:szCs w:val="32"/>
        </w:rPr>
        <w:t>341</w:t>
      </w:r>
      <w:r>
        <w:rPr>
          <w:rFonts w:hint="eastAsia" w:ascii="仿宋_GB2312" w:eastAsia="仿宋_GB2312"/>
          <w:sz w:val="32"/>
          <w:szCs w:val="32"/>
        </w:rPr>
        <w:t>条次，山东广播电视台采用</w:t>
      </w:r>
      <w:r>
        <w:rPr>
          <w:rFonts w:ascii="仿宋_GB2312" w:eastAsia="仿宋_GB2312"/>
          <w:sz w:val="32"/>
          <w:szCs w:val="32"/>
        </w:rPr>
        <w:t>346</w:t>
      </w:r>
      <w:r>
        <w:rPr>
          <w:rFonts w:hint="eastAsia" w:ascii="仿宋_GB2312" w:eastAsia="仿宋_GB2312"/>
          <w:sz w:val="32"/>
          <w:szCs w:val="32"/>
        </w:rPr>
        <w:t>条次。</w:t>
      </w:r>
      <w:r>
        <w:rPr>
          <w:rFonts w:hint="eastAsia" w:ascii="仿宋_GB2312" w:eastAsia="仿宋_GB2312"/>
          <w:b/>
          <w:sz w:val="32"/>
          <w:szCs w:val="32"/>
        </w:rPr>
        <w:t>三是打造新媒体账号。</w:t>
      </w:r>
      <w:r>
        <w:rPr>
          <w:rFonts w:hint="eastAsia" w:ascii="仿宋_GB2312" w:eastAsia="仿宋_GB2312"/>
          <w:sz w:val="32"/>
          <w:szCs w:val="32"/>
        </w:rPr>
        <w:t>优化“山东财政”微信公众号栏目设置，重点开设“微服务”“微公开”“微解读”三个政民互动版块，提升公众号的办事服务功能。目前，公众号累计发布稿件近1500余篇，其中原创稿件872篇，关注用户突破50万人，近期日均用户增长数过千人。</w:t>
      </w:r>
      <w:r>
        <w:rPr>
          <w:rFonts w:hint="eastAsia" w:ascii="仿宋_GB2312" w:eastAsia="仿宋_GB2312"/>
          <w:b/>
          <w:sz w:val="32"/>
          <w:szCs w:val="32"/>
        </w:rPr>
        <w:t>四是开辟书刊渠道。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《山东财政》杂志每年出版两期专刊，集中公开政府财政预算信息和决算信息，在免费向社会提供的同时，定期向上海财经大学、马洪基金会等全国知名智库寄送，不断加强与全国知名智库的交流互动，主动接受监督。</w:t>
      </w:r>
    </w:p>
    <w:p>
      <w:pPr>
        <w:overflowPunct w:val="0"/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/>
          <w:color w:val="000000"/>
          <w:sz w:val="3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198755</wp:posOffset>
            </wp:positionV>
            <wp:extent cx="2556510" cy="2609850"/>
            <wp:effectExtent l="9525" t="9525" r="13970" b="14605"/>
            <wp:wrapNone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6510" cy="2609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_GB2312" w:hAnsi="宋体" w:eastAsia="楷体_GB2312"/>
          <w:color w:val="000000"/>
          <w:sz w:val="32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2763520</wp:posOffset>
            </wp:positionH>
            <wp:positionV relativeFrom="paragraph">
              <wp:posOffset>177800</wp:posOffset>
            </wp:positionV>
            <wp:extent cx="2379980" cy="2619375"/>
            <wp:effectExtent l="9525" t="9525" r="17780" b="15875"/>
            <wp:wrapThrough wrapText="bothSides">
              <wp:wrapPolygon>
                <wp:start x="-86" y="-79"/>
                <wp:lineTo x="-86" y="21375"/>
                <wp:lineTo x="21369" y="21375"/>
                <wp:lineTo x="21369" y="-79"/>
                <wp:lineTo x="-86" y="-79"/>
              </wp:wrapPolygon>
            </wp:wrapThrough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9980" cy="26193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overflowPunct w:val="0"/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color w:val="000000"/>
          <w:sz w:val="32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2783840</wp:posOffset>
            </wp:positionH>
            <wp:positionV relativeFrom="paragraph">
              <wp:posOffset>322580</wp:posOffset>
            </wp:positionV>
            <wp:extent cx="2361565" cy="3385185"/>
            <wp:effectExtent l="9525" t="9525" r="14605" b="16510"/>
            <wp:wrapNone/>
            <wp:docPr id="1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1565" cy="33851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仿宋_GB2312" w:hAnsi="宋体" w:eastAsia="仿宋_GB2312"/>
          <w:color w:val="000000"/>
          <w:sz w:val="32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325120</wp:posOffset>
            </wp:positionV>
            <wp:extent cx="2472690" cy="3382645"/>
            <wp:effectExtent l="9525" t="9525" r="11430" b="19050"/>
            <wp:wrapNone/>
            <wp:docPr id="43" name="图片 43" descr="C:\Users\jwqian\AppData\Local\Temp\160912651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C:\Users\jwqian\AppData\Local\Temp\1609126510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2690" cy="33826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overflowPunct w:val="0"/>
        <w:spacing w:line="600" w:lineRule="exact"/>
        <w:ind w:firstLine="640" w:firstLineChars="200"/>
        <w:rPr>
          <w:rFonts w:hint="eastAsia" w:ascii="楷体_GB2312" w:hAnsi="宋体" w:eastAsia="楷体_GB2312" w:cs="宋体"/>
          <w:kern w:val="0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楷体_GB2312" w:hAnsi="宋体" w:eastAsia="楷体_GB2312" w:cs="宋体"/>
          <w:kern w:val="0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楷体_GB2312" w:hAnsi="宋体" w:eastAsia="楷体_GB2312" w:cs="宋体"/>
          <w:kern w:val="0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楷体_GB2312" w:hAnsi="宋体" w:eastAsia="楷体_GB2312" w:cs="宋体"/>
          <w:kern w:val="0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楷体_GB2312" w:hAnsi="宋体" w:eastAsia="楷体_GB2312" w:cs="宋体"/>
          <w:kern w:val="0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楷体_GB2312" w:hAnsi="宋体" w:eastAsia="楷体_GB2312" w:cs="宋体"/>
          <w:kern w:val="0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楷体_GB2312" w:hAnsi="宋体" w:eastAsia="楷体_GB2312" w:cs="宋体"/>
          <w:kern w:val="0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楷体_GB2312" w:hAnsi="宋体" w:eastAsia="楷体_GB2312" w:cs="宋体"/>
          <w:kern w:val="0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楷体_GB2312" w:hAnsi="宋体" w:eastAsia="楷体_GB2312" w:cs="宋体"/>
          <w:kern w:val="0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（四）健全制度机制，提升公开水平。</w:t>
      </w:r>
      <w:r>
        <w:rPr>
          <w:rFonts w:hint="eastAsia" w:ascii="仿宋_GB2312" w:eastAsia="仿宋_GB2312"/>
          <w:b/>
          <w:sz w:val="32"/>
          <w:szCs w:val="32"/>
        </w:rPr>
        <w:t>一是信息主动发布机制。</w:t>
      </w:r>
      <w:r>
        <w:rPr>
          <w:rFonts w:hint="eastAsia" w:ascii="仿宋_GB2312" w:eastAsia="仿宋_GB2312"/>
          <w:sz w:val="32"/>
          <w:szCs w:val="32"/>
        </w:rPr>
        <w:t>把信息公开要求融入办文办事程序，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建立信息公开源头认定机制，要求处室对制发的每一份文件都标明信息公开选项，对不能主动公开的必须说明原因。规范厅门户网站“政府信息公开”专栏设置，及时调整法定主动公开内容和要求，特别是对重要政策文件做到“接办即发”，方便群众第一时间知晓。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二是决策公开机制。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做好重大决策预公开工作，常态化落实邀请利益相关方列席厅长办公会议制度。今年在研究制定支持高质量发展财政政策时，主动邀请武汉大学、省社科院专家学者参与讨论，提升社会各界对财政工作的知情权、参与权和监督权，以公开出思路、强监督、促落实。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三是依申请公开办理机制。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认真学习贯彻新修订的《中华人民共和国政府信息公开条例》，做好依申请公开接收、登记、办理、调查、答复等各个环节工作。</w:t>
      </w: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lang w:val="zh-CN"/>
        </w:rPr>
        <w:t>建立依申请公开协查机制，针对疑难件办理，加强与相关地市、部门的会商联系，提高依申请公开答复的精准度。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今年以来，共受理信息公开申请84件，按时回复率达到100%。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四是解读回应机制。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在厅门户网站开设“政策解读”专题栏目，聚焦“六稳”“六保”等重点工作加强解读回应，主动公开相关政策措施，确保政策内涵透明、信号清晰，稳定社会预期，提振市场信心。今年以来</w:t>
      </w:r>
      <w:r>
        <w:rPr>
          <w:rFonts w:hint="eastAsia" w:ascii="仿宋_GB2312" w:eastAsia="仿宋_GB2312"/>
          <w:sz w:val="32"/>
          <w:szCs w:val="32"/>
        </w:rPr>
        <w:t>，已参加新闻发布会31场次，位列省直部门第一位，为财政与百姓“零距离”接触营造良好氛围。</w:t>
      </w:r>
    </w:p>
    <w:p>
      <w:pPr>
        <w:overflowPunct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overflowPunct w:val="0"/>
        <w:spacing w:line="600" w:lineRule="exact"/>
        <w:ind w:firstLine="420" w:firstLineChars="200"/>
        <w:rPr>
          <w:rFonts w:hint="eastAsia" w:ascii="仿宋_GB2312" w:eastAsia="仿宋_GB2312"/>
          <w:sz w:val="32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-342265</wp:posOffset>
            </wp:positionV>
            <wp:extent cx="2670810" cy="1899920"/>
            <wp:effectExtent l="9525" t="9525" r="18415" b="12065"/>
            <wp:wrapNone/>
            <wp:docPr id="15" name="图片 14" descr="八大发展战略发布会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 descr="八大发展战略发布会.jpg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0810" cy="189992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2715895</wp:posOffset>
            </wp:positionH>
            <wp:positionV relativeFrom="paragraph">
              <wp:posOffset>-342265</wp:posOffset>
            </wp:positionV>
            <wp:extent cx="2707005" cy="1905000"/>
            <wp:effectExtent l="9525" t="9525" r="14605" b="17780"/>
            <wp:wrapNone/>
            <wp:docPr id="23" name="图片 22" descr="乡村振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 descr="乡村振兴.jpg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7005" cy="19050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overflowPunct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overflowPunct w:val="0"/>
        <w:spacing w:line="600" w:lineRule="exact"/>
        <w:ind w:firstLine="420" w:firstLineChars="200"/>
        <w:rPr>
          <w:rFonts w:hint="eastAsia" w:ascii="黑体" w:hAnsi="黑体" w:eastAsia="黑体"/>
          <w:sz w:val="32"/>
          <w:szCs w:val="32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-167005</wp:posOffset>
            </wp:positionH>
            <wp:positionV relativeFrom="paragraph">
              <wp:posOffset>278130</wp:posOffset>
            </wp:positionV>
            <wp:extent cx="2695575" cy="1800225"/>
            <wp:effectExtent l="9525" t="9525" r="15240" b="14605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5" r="4059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8002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2759075</wp:posOffset>
            </wp:positionH>
            <wp:positionV relativeFrom="paragraph">
              <wp:posOffset>273685</wp:posOffset>
            </wp:positionV>
            <wp:extent cx="2701925" cy="1814195"/>
            <wp:effectExtent l="9525" t="9525" r="19685" b="1143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925" cy="181419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</w:p>
    <w:p>
      <w:pPr>
        <w:overflowPunct w:val="0"/>
        <w:spacing w:line="60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p/>
    <w:tbl>
      <w:tblPr>
        <w:tblStyle w:val="4"/>
        <w:tblW w:w="871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75"/>
        <w:gridCol w:w="15"/>
        <w:gridCol w:w="2100"/>
        <w:gridCol w:w="1500"/>
        <w:gridCol w:w="202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871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第二十条第（一）项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211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本年新制作数量</w:t>
            </w:r>
          </w:p>
        </w:tc>
        <w:tc>
          <w:tcPr>
            <w:tcW w:w="15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本年新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公开数量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对外公开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总数量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规章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规范性文件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kern w:val="0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kern w:val="0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14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kern w:val="0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8715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第二十条第（五）项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211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15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处理决定数量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行政许可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kern w:val="0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kern w:val="0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kern w:val="0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  <w:lang w:val="en-US" w:eastAsia="zh-CN"/>
              </w:rPr>
              <w:t>256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其他对外管理服务事项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8715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第二十条第（六）项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211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15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处理决定数量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行政处罚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kern w:val="0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36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减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kern w:val="0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行政强制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8715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第二十条第（八）项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35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本年增/减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行政事业性收费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51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（中央43+省级8）</w:t>
            </w:r>
          </w:p>
        </w:tc>
        <w:tc>
          <w:tcPr>
            <w:tcW w:w="3525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增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8715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第二十条第（九）项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309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采购项目数量</w:t>
            </w:r>
          </w:p>
        </w:tc>
        <w:tc>
          <w:tcPr>
            <w:tcW w:w="35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采购总金额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309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政府集中采购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138</w:t>
            </w:r>
          </w:p>
        </w:tc>
        <w:tc>
          <w:tcPr>
            <w:tcW w:w="3525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5435.73万元</w:t>
            </w:r>
          </w:p>
        </w:tc>
      </w:tr>
    </w:tbl>
    <w:p>
      <w:pPr>
        <w:widowControl/>
        <w:spacing w:after="240" w:line="391" w:lineRule="atLeast"/>
        <w:ind w:firstLine="480"/>
        <w:rPr>
          <w:rFonts w:ascii="宋体" w:hAnsi="宋体" w:cs="宋体"/>
          <w:b/>
          <w:bCs/>
          <w:kern w:val="0"/>
          <w:sz w:val="22"/>
          <w:szCs w:val="22"/>
        </w:rPr>
      </w:pP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全年共办理信息公开申请84件，同比在增长5%。其中，通过厅门户网站收到信息公开申请51件，通过信函收到信息公开申请33件，均在规定时限内给予了答复。政府信息公开申请的内容主要涉及资金信息、征地拆迁补偿、棚户区改造、社会保障等方面。申请人多来自高校师生、律师事务所及社会个人，申请目的多与毕业论文、课题研究及自身生产生活有关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在答复的申请中：属于同意公开40件，占47.62%；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同意部分公开8件，占9.52%；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因属于国家秘密，不同意公开4件，占4.76%；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不属于本行政机关公开范围31件，占36.90%；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因未按规定时间进行补正说明，不予受理1件，占1.19%。</w:t>
      </w:r>
    </w:p>
    <w:tbl>
      <w:tblPr>
        <w:tblStyle w:val="4"/>
        <w:tblW w:w="907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7"/>
        <w:gridCol w:w="854"/>
        <w:gridCol w:w="2086"/>
        <w:gridCol w:w="813"/>
        <w:gridCol w:w="755"/>
        <w:gridCol w:w="755"/>
        <w:gridCol w:w="813"/>
        <w:gridCol w:w="973"/>
        <w:gridCol w:w="711"/>
        <w:gridCol w:w="69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514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13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00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9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1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81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69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宋体"/>
                <w:kern w:val="0"/>
                <w:sz w:val="20"/>
                <w:szCs w:val="20"/>
              </w:rPr>
              <w:t>83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宋体"/>
                <w:kern w:val="0"/>
                <w:sz w:val="20"/>
                <w:szCs w:val="20"/>
              </w:rPr>
              <w:t>84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Calibri" w:hAnsi="Calibri" w:cs="宋体"/>
                <w:kern w:val="0"/>
                <w:sz w:val="20"/>
                <w:szCs w:val="20"/>
              </w:rPr>
              <w:t>40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Calibri" w:hAnsi="Calibri" w:cs="宋体"/>
                <w:kern w:val="0"/>
                <w:sz w:val="20"/>
                <w:szCs w:val="20"/>
              </w:rPr>
              <w:t>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宋体"/>
                <w:kern w:val="0"/>
                <w:sz w:val="20"/>
                <w:szCs w:val="20"/>
              </w:rPr>
              <w:t>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Calibri" w:hAnsi="Calibri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Calibri" w:hAnsi="Calibri" w:cs="宋体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Calibri" w:hAnsi="Calibri" w:cs="宋体"/>
                <w:kern w:val="0"/>
                <w:sz w:val="20"/>
                <w:szCs w:val="20"/>
              </w:rPr>
              <w:t>30</w:t>
            </w: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宋体"/>
                <w:kern w:val="0"/>
                <w:sz w:val="20"/>
                <w:szCs w:val="20"/>
              </w:rPr>
              <w:t>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Calibri" w:hAnsi="Calibri" w:cs="宋体"/>
                <w:kern w:val="0"/>
                <w:sz w:val="20"/>
                <w:szCs w:val="20"/>
              </w:rPr>
              <w:t>1</w:t>
            </w: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宋体"/>
                <w:kern w:val="0"/>
                <w:sz w:val="20"/>
                <w:szCs w:val="20"/>
              </w:rPr>
              <w:t>83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宋体"/>
                <w:kern w:val="0"/>
                <w:sz w:val="20"/>
                <w:szCs w:val="20"/>
              </w:rPr>
              <w:t>84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widowControl/>
        <w:spacing w:line="391" w:lineRule="atLeast"/>
        <w:ind w:firstLine="480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drawing>
          <wp:inline distT="0" distB="0" distL="114300" distR="114300">
            <wp:extent cx="5393690" cy="1988185"/>
            <wp:effectExtent l="0" t="0" r="3810" b="8890"/>
            <wp:docPr id="3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>
      <w:pPr>
        <w:widowControl/>
        <w:spacing w:line="391" w:lineRule="atLeast"/>
        <w:ind w:firstLine="480"/>
        <w:rPr>
          <w:rFonts w:hint="eastAsia" w:ascii="黑体" w:hAnsi="黑体" w:eastAsia="黑体" w:cs="宋体"/>
          <w:bCs/>
          <w:kern w:val="0"/>
          <w:sz w:val="32"/>
          <w:szCs w:val="32"/>
        </w:rPr>
      </w:pPr>
    </w:p>
    <w:p>
      <w:pPr>
        <w:widowControl/>
        <w:spacing w:line="391" w:lineRule="atLeast"/>
        <w:ind w:firstLine="480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四、政府信息公开行政复议、行政诉讼情况</w:t>
      </w:r>
    </w:p>
    <w:tbl>
      <w:tblPr>
        <w:tblStyle w:val="4"/>
        <w:tblW w:w="907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Calibri" w:hAnsi="Calibri" w:cs="宋体"/>
                <w:kern w:val="0"/>
                <w:sz w:val="20"/>
                <w:szCs w:val="20"/>
              </w:rPr>
              <w:t>2</w:t>
            </w: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</w:tr>
    </w:tbl>
    <w:p>
      <w:pPr>
        <w:widowControl/>
        <w:spacing w:line="600" w:lineRule="exact"/>
        <w:ind w:firstLine="640" w:firstLineChars="200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五、存在的主要问题及改进情况</w:t>
      </w:r>
    </w:p>
    <w:p>
      <w:pPr>
        <w:overflowPunct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2020年，财政政务公开工作取得了一些成绩，但与省政府办公厅要求相比还有一定差距，</w:t>
      </w:r>
      <w:r>
        <w:rPr>
          <w:rFonts w:hint="eastAsia" w:ascii="仿宋_GB2312" w:hAnsi="ˎ̥" w:eastAsia="仿宋_GB2312" w:cs="宋体"/>
          <w:kern w:val="0"/>
          <w:sz w:val="32"/>
          <w:szCs w:val="32"/>
        </w:rPr>
        <w:t>仍然存在主动公开意识不够高、重点领域信息公开内容不够广、公开形式不够灵活多样、对系统内指导监督力度不够大等问题。对此，我们将继续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按照省政府关于推进政务公开工作的部署要求，加强学习，再接再厉，不断提升公开水平。</w:t>
      </w:r>
    </w:p>
    <w:p>
      <w:pPr>
        <w:tabs>
          <w:tab w:val="left" w:pos="5362"/>
        </w:tabs>
        <w:overflowPunct w:val="0"/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ˎ̥" w:eastAsia="楷体_GB2312" w:cs="宋体"/>
          <w:kern w:val="0"/>
          <w:sz w:val="32"/>
          <w:szCs w:val="32"/>
        </w:rPr>
        <w:t>（一）进一步加强制度建设。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按照中央和省委、省政府关于推进政务公开工作的部署要求，紧密结合财政工作实际，制定厅机关全面推进政务公开工作的实施办法、工作要点，全力推进行政决策公开、执行公开、管理公开、服务公开和结果公开，加快构建透明阳光财政制度。</w:t>
      </w:r>
    </w:p>
    <w:p>
      <w:pPr>
        <w:tabs>
          <w:tab w:val="left" w:pos="5362"/>
        </w:tabs>
        <w:overflowPunct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ˎ̥" w:eastAsia="楷体_GB2312" w:cs="宋体"/>
          <w:kern w:val="0"/>
          <w:sz w:val="32"/>
          <w:szCs w:val="32"/>
        </w:rPr>
        <w:t>（二）继续加大重点领域信息公开力度。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坚持“以公开为常态、不公开为例外”，</w:t>
      </w:r>
      <w:r>
        <w:rPr>
          <w:rFonts w:hint="eastAsia" w:ascii="仿宋_GB2312" w:eastAsia="仿宋_GB2312"/>
          <w:color w:val="000000"/>
          <w:sz w:val="32"/>
          <w:szCs w:val="32"/>
        </w:rPr>
        <w:t>持续推动</w:t>
      </w:r>
      <w:r>
        <w:rPr>
          <w:rFonts w:hint="eastAsia" w:ascii="仿宋_GB2312" w:eastAsia="仿宋_GB2312"/>
          <w:sz w:val="32"/>
          <w:szCs w:val="32"/>
        </w:rPr>
        <w:t>财政预决算、减税降费、预算绩效管理、财政“放管服”、扶贫资金政策、财政涉企政策等重点领域信息公开，以公开促落实。</w:t>
      </w:r>
    </w:p>
    <w:p>
      <w:pPr>
        <w:overflowPunct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ˎ̥" w:eastAsia="楷体_GB2312" w:cs="宋体"/>
          <w:kern w:val="0"/>
          <w:sz w:val="32"/>
          <w:szCs w:val="32"/>
        </w:rPr>
        <w:t>（三）切实加强政策解读回应。</w:t>
      </w:r>
      <w:r>
        <w:rPr>
          <w:rFonts w:hint="eastAsia" w:ascii="仿宋_GB2312" w:eastAsia="仿宋_GB2312"/>
          <w:sz w:val="32"/>
          <w:szCs w:val="32"/>
        </w:rPr>
        <w:t>统筹运用新闻发布会、厅门户网站、政务新媒体等形式，做好政策解读工作，扩大发布信息受众面。探索采用视频、音频、动漫动画等生动易懂的形式进行全方位解读，让群众对财政政策和业务“听得懂”“信得过”。对专业性较强的政策，组织政策制定参与者、熟悉相关领域的专家学者进行专业解读，提升解读的准确性、权威性。</w:t>
      </w:r>
    </w:p>
    <w:p>
      <w:pPr>
        <w:overflowPunct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hAnsi="ˎ̥" w:eastAsia="楷体_GB2312" w:cs="宋体"/>
          <w:kern w:val="0"/>
          <w:sz w:val="32"/>
          <w:szCs w:val="32"/>
        </w:rPr>
        <w:t>（四）抓好公开制度基础建设。</w:t>
      </w:r>
      <w:r>
        <w:rPr>
          <w:rFonts w:hint="eastAsia" w:ascii="仿宋_GB2312" w:eastAsia="仿宋_GB2312"/>
          <w:sz w:val="32"/>
          <w:szCs w:val="32"/>
        </w:rPr>
        <w:t>定期举办全省财政系统政务公开工作培训班，加大对厅机关和各市县的政务公开培训力度。拓展政务公开督查方式，加强对各市及省财政直管县政务公开工作的指导监督，及时发现问题，督促即知即改，推动全省财政系统政务公开工作再上新水平。</w:t>
      </w:r>
    </w:p>
    <w:p>
      <w:pPr>
        <w:overflowPunct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六、其他需要报告的事项</w:t>
      </w:r>
    </w:p>
    <w:p>
      <w:pPr>
        <w:overflowPunct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2020年，省财政厅共承办人大建议192件、政协提案116件， 已于8月底前全部按期完成答复，办结率为100%，并及时在门户网站公开。在办理答复过程中，注重加强沟通对接，认真倾听代表委员的呼声，采取厅领导带队走访、调研座谈、电话了解等方式，对代表委员提出的问题进行积极回应，得到了代表委员的充分肯定。在8月25日召开的省政协提案办理情况调度会上作了典型发言，获得2020年度“山东省政协先进提案承办单位”荣誉称号。</w:t>
      </w:r>
    </w:p>
    <w:p>
      <w:pPr>
        <w:overflowPunct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DBF733"/>
    <w:multiLevelType w:val="singleLevel"/>
    <w:tmpl w:val="9DDBF733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8D"/>
    <w:rsid w:val="00065A8A"/>
    <w:rsid w:val="002C107A"/>
    <w:rsid w:val="002C3890"/>
    <w:rsid w:val="0031218F"/>
    <w:rsid w:val="003C4E89"/>
    <w:rsid w:val="0043728A"/>
    <w:rsid w:val="00517287"/>
    <w:rsid w:val="005718BB"/>
    <w:rsid w:val="005B5BB2"/>
    <w:rsid w:val="005D2115"/>
    <w:rsid w:val="005D4E96"/>
    <w:rsid w:val="00906605"/>
    <w:rsid w:val="00975C7C"/>
    <w:rsid w:val="00AB0EC1"/>
    <w:rsid w:val="00B8634D"/>
    <w:rsid w:val="00BA78C3"/>
    <w:rsid w:val="00C46F0D"/>
    <w:rsid w:val="00C47E8E"/>
    <w:rsid w:val="00CD1F8A"/>
    <w:rsid w:val="00D5567B"/>
    <w:rsid w:val="00E824BB"/>
    <w:rsid w:val="00E84150"/>
    <w:rsid w:val="00EA498D"/>
    <w:rsid w:val="00F40E3E"/>
    <w:rsid w:val="016E0D7F"/>
    <w:rsid w:val="0B1F3E0B"/>
    <w:rsid w:val="39B41D9F"/>
    <w:rsid w:val="4F3B2097"/>
    <w:rsid w:val="54CD4E60"/>
    <w:rsid w:val="5F0C0994"/>
    <w:rsid w:val="70DD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Char Char1 Char Char Char Char Char Char Char Char"/>
    <w:basedOn w:val="1"/>
    <w:uiPriority w:val="0"/>
    <w:pPr>
      <w:widowControl/>
      <w:spacing w:after="160" w:line="240" w:lineRule="exact"/>
      <w:jc w:val="left"/>
    </w:pPr>
  </w:style>
  <w:style w:type="character" w:customStyle="1" w:styleId="8">
    <w:name w:val="页眉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chart" Target="charts/chart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Lenovo\Desktop\&#25919;&#24220;&#20449;&#24687;&#20844;&#24320;&#19987;&#26639;\&#39292;&#29366;&#22270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2724275959501"/>
          <c:y val="0.0907058447780262"/>
          <c:w val="0.284671532846715"/>
          <c:h val="0.772277227722772"/>
        </c:manualLayout>
      </c:layout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[饼状图.xls]Sheet1!$B$2:$B$6</c:f>
              <c:strCache>
                <c:ptCount val="5"/>
                <c:pt idx="0">
                  <c:v>同意公开</c:v>
                </c:pt>
                <c:pt idx="1">
                  <c:v>部分公开</c:v>
                </c:pt>
                <c:pt idx="2">
                  <c:v>属于国家秘密，不同意公开</c:v>
                </c:pt>
                <c:pt idx="3">
                  <c:v>不属于本行政机关公开范围</c:v>
                </c:pt>
                <c:pt idx="4">
                  <c:v>未按规定时间进行补正说明，不予受理</c:v>
                </c:pt>
              </c:strCache>
            </c:strRef>
          </c:cat>
          <c:val>
            <c:numRef>
              <c:f>[饼状图.xls]Sheet1!$D$2:$D$6</c:f>
              <c:numCache>
                <c:formatCode>0.00%</c:formatCode>
                <c:ptCount val="5"/>
                <c:pt idx="0">
                  <c:v>0.476190476190476</c:v>
                </c:pt>
                <c:pt idx="1">
                  <c:v>0.0952380952380952</c:v>
                </c:pt>
                <c:pt idx="2">
                  <c:v>0.0476190476190476</c:v>
                </c:pt>
                <c:pt idx="3">
                  <c:v>0.369047619047619</c:v>
                </c:pt>
                <c:pt idx="4">
                  <c:v>0.0119047619047619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60866493995761"/>
          <c:y val="0.26743881235531"/>
          <c:w val="0.434659759830469"/>
          <c:h val="0.383741479424388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5301</Words>
  <Characters>5550</Characters>
  <Lines>42</Lines>
  <Paragraphs>11</Paragraphs>
  <TotalTime>3</TotalTime>
  <ScaleCrop>false</ScaleCrop>
  <LinksUpToDate>false</LinksUpToDate>
  <CharactersWithSpaces>5722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2021-01-25T12:41:00Z</dcterms:created>
  <dc:creator>姜文谦</dc:creator>
  <cp:lastModifiedBy>善生</cp:lastModifiedBy>
  <dcterms:modified xsi:type="dcterms:W3CDTF">2021-06-01T03:51:05Z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6DB3684DB24C4ADC92B3728E73268B95</vt:lpwstr>
  </property>
</Properties>
</file>