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80958">
      <w:pPr>
        <w:keepNext w:val="0"/>
        <w:keepLines w:val="0"/>
        <w:pageBreakBefore w:val="0"/>
        <w:widowControl w:val="0"/>
        <w:kinsoku/>
        <w:wordWrap/>
        <w:overflowPunct/>
        <w:topLinePunct w:val="0"/>
        <w:autoSpaceDE w:val="0"/>
        <w:autoSpaceDN w:val="0"/>
        <w:bidi w:val="0"/>
        <w:adjustRightInd w:val="0"/>
        <w:snapToGrid/>
        <w:spacing w:line="600" w:lineRule="exact"/>
        <w:ind w:left="0" w:right="0"/>
        <w:jc w:val="both"/>
        <w:textAlignment w:val="baseline"/>
        <w:rPr>
          <w:rFonts w:hint="eastAsia" w:ascii="方正公文小标宋" w:hAnsi="方正公文小标宋" w:eastAsia="方正公文小标宋" w:cs="方正公文小标宋"/>
          <w:snapToGrid/>
          <w:spacing w:val="0"/>
          <w:sz w:val="44"/>
          <w:szCs w:val="44"/>
          <w:lang w:val="en-US" w:eastAsia="zh-CN"/>
        </w:rPr>
      </w:pPr>
      <w:bookmarkStart w:id="0" w:name="_GoBack"/>
      <w:bookmarkEnd w:id="0"/>
    </w:p>
    <w:p w14:paraId="26565331">
      <w:pPr>
        <w:keepNext w:val="0"/>
        <w:keepLines w:val="0"/>
        <w:pageBreakBefore w:val="0"/>
        <w:widowControl w:val="0"/>
        <w:kinsoku/>
        <w:wordWrap/>
        <w:overflowPunct/>
        <w:topLinePunct w:val="0"/>
        <w:autoSpaceDE w:val="0"/>
        <w:autoSpaceDN w:val="0"/>
        <w:bidi w:val="0"/>
        <w:adjustRightInd w:val="0"/>
        <w:snapToGrid/>
        <w:spacing w:line="600" w:lineRule="exact"/>
        <w:ind w:left="0" w:right="0"/>
        <w:jc w:val="center"/>
        <w:textAlignment w:val="baseline"/>
        <w:rPr>
          <w:rFonts w:hint="eastAsia" w:ascii="方正小标宋_GBK" w:hAnsi="方正小标宋_GBK" w:eastAsia="方正小标宋_GBK" w:cs="方正小标宋_GBK"/>
          <w:snapToGrid/>
          <w:spacing w:val="0"/>
          <w:sz w:val="44"/>
          <w:szCs w:val="44"/>
        </w:rPr>
      </w:pPr>
      <w:r>
        <w:rPr>
          <w:rFonts w:hint="eastAsia" w:ascii="方正小标宋_GBK" w:hAnsi="方正小标宋_GBK" w:eastAsia="方正小标宋_GBK" w:cs="方正小标宋_GBK"/>
          <w:snapToGrid/>
          <w:spacing w:val="0"/>
          <w:sz w:val="44"/>
          <w:szCs w:val="44"/>
          <w:lang w:val="en-US" w:eastAsia="zh-CN"/>
        </w:rPr>
        <w:t>山东省</w:t>
      </w:r>
      <w:r>
        <w:rPr>
          <w:rFonts w:hint="eastAsia" w:ascii="方正小标宋_GBK" w:hAnsi="方正小标宋_GBK" w:eastAsia="方正小标宋_GBK" w:cs="方正小标宋_GBK"/>
          <w:snapToGrid/>
          <w:spacing w:val="0"/>
          <w:sz w:val="44"/>
          <w:szCs w:val="44"/>
        </w:rPr>
        <w:t>省级福彩公益金使用管理办法</w:t>
      </w:r>
    </w:p>
    <w:p w14:paraId="68ACBE38">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ascii="黑体" w:hAnsi="黑体" w:eastAsia="黑体" w:cs="黑体"/>
          <w:snapToGrid/>
          <w:spacing w:val="0"/>
          <w:sz w:val="32"/>
          <w:szCs w:val="32"/>
        </w:rPr>
      </w:pPr>
    </w:p>
    <w:p w14:paraId="41721AB5">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第一</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为</w:t>
      </w:r>
      <w:r>
        <w:rPr>
          <w:rFonts w:hint="eastAsia" w:eastAsia="仿宋_GB2312"/>
          <w:snapToGrid/>
          <w:spacing w:val="0"/>
          <w:sz w:val="32"/>
          <w:szCs w:val="32"/>
          <w:lang w:val="en-US" w:eastAsia="zh-CN"/>
        </w:rPr>
        <w:t>加强</w:t>
      </w:r>
      <w:r>
        <w:rPr>
          <w:rFonts w:eastAsia="仿宋_GB2312"/>
          <w:snapToGrid/>
          <w:spacing w:val="0"/>
          <w:sz w:val="32"/>
          <w:szCs w:val="32"/>
        </w:rPr>
        <w:t>省级福利彩票公益金使用管理，提高资金使用效益，根据《彩票管理</w:t>
      </w:r>
      <w:r>
        <w:rPr>
          <w:rFonts w:hint="eastAsia" w:eastAsia="仿宋_GB2312"/>
          <w:snapToGrid/>
          <w:spacing w:val="0"/>
          <w:sz w:val="32"/>
          <w:szCs w:val="32"/>
          <w:lang w:eastAsia="zh-CN"/>
        </w:rPr>
        <w:t>条</w:t>
      </w:r>
      <w:r>
        <w:rPr>
          <w:rFonts w:eastAsia="仿宋_GB2312"/>
          <w:snapToGrid/>
          <w:spacing w:val="0"/>
          <w:sz w:val="32"/>
          <w:szCs w:val="32"/>
        </w:rPr>
        <w:t>例》</w:t>
      </w:r>
      <w:r>
        <w:rPr>
          <w:rFonts w:hint="eastAsia" w:eastAsia="仿宋_GB2312"/>
          <w:snapToGrid/>
          <w:spacing w:val="0"/>
          <w:sz w:val="32"/>
          <w:szCs w:val="32"/>
          <w:lang w:eastAsia="zh-CN"/>
        </w:rPr>
        <w:t>（</w:t>
      </w:r>
      <w:r>
        <w:rPr>
          <w:rFonts w:eastAsia="仿宋_GB2312"/>
          <w:snapToGrid/>
          <w:spacing w:val="0"/>
          <w:sz w:val="32"/>
          <w:szCs w:val="32"/>
        </w:rPr>
        <w:t>国务院令第554号</w:t>
      </w:r>
      <w:r>
        <w:rPr>
          <w:rFonts w:hint="eastAsia" w:eastAsia="仿宋_GB2312"/>
          <w:snapToGrid/>
          <w:spacing w:val="0"/>
          <w:sz w:val="32"/>
          <w:szCs w:val="32"/>
          <w:lang w:eastAsia="zh-CN"/>
        </w:rPr>
        <w:t>）</w:t>
      </w:r>
      <w:r>
        <w:rPr>
          <w:rFonts w:eastAsia="仿宋_GB2312"/>
          <w:snapToGrid/>
          <w:spacing w:val="0"/>
          <w:sz w:val="32"/>
          <w:szCs w:val="32"/>
        </w:rPr>
        <w:t>、《关于修改〈彩票管理</w:t>
      </w:r>
      <w:r>
        <w:rPr>
          <w:rFonts w:hint="eastAsia" w:eastAsia="仿宋_GB2312"/>
          <w:snapToGrid/>
          <w:spacing w:val="0"/>
          <w:sz w:val="32"/>
          <w:szCs w:val="32"/>
          <w:lang w:eastAsia="zh-CN"/>
        </w:rPr>
        <w:t>条</w:t>
      </w:r>
      <w:r>
        <w:rPr>
          <w:rFonts w:eastAsia="仿宋_GB2312"/>
          <w:snapToGrid/>
          <w:spacing w:val="0"/>
          <w:sz w:val="32"/>
          <w:szCs w:val="32"/>
        </w:rPr>
        <w:t>例实施细则〉的决定》</w:t>
      </w:r>
      <w:r>
        <w:rPr>
          <w:rFonts w:hint="eastAsia" w:eastAsia="仿宋_GB2312"/>
          <w:snapToGrid/>
          <w:spacing w:val="0"/>
          <w:sz w:val="32"/>
          <w:szCs w:val="32"/>
          <w:lang w:eastAsia="zh-CN"/>
        </w:rPr>
        <w:t>（</w:t>
      </w:r>
      <w:r>
        <w:rPr>
          <w:rFonts w:eastAsia="仿宋_GB2312"/>
          <w:snapToGrid/>
          <w:spacing w:val="0"/>
          <w:sz w:val="32"/>
          <w:szCs w:val="32"/>
        </w:rPr>
        <w:t>财政部、民政部、国</w:t>
      </w:r>
      <w:r>
        <w:rPr>
          <w:rFonts w:eastAsia="仿宋_GB2312"/>
          <w:snapToGrid/>
          <w:spacing w:val="0"/>
          <w:sz w:val="32"/>
          <w:szCs w:val="32"/>
          <w:highlight w:val="none"/>
        </w:rPr>
        <w:t>家体育总局令第96号</w:t>
      </w:r>
      <w:r>
        <w:rPr>
          <w:rFonts w:hint="eastAsia" w:eastAsia="仿宋_GB2312"/>
          <w:snapToGrid/>
          <w:spacing w:val="0"/>
          <w:sz w:val="32"/>
          <w:szCs w:val="32"/>
          <w:highlight w:val="none"/>
          <w:lang w:eastAsia="zh-CN"/>
        </w:rPr>
        <w:t>）</w:t>
      </w:r>
      <w:r>
        <w:rPr>
          <w:rFonts w:eastAsia="仿宋_GB2312"/>
          <w:snapToGrid/>
          <w:spacing w:val="0"/>
          <w:sz w:val="32"/>
          <w:szCs w:val="32"/>
          <w:highlight w:val="none"/>
        </w:rPr>
        <w:t>、《</w:t>
      </w:r>
      <w:r>
        <w:rPr>
          <w:rFonts w:hint="eastAsia" w:eastAsia="仿宋_GB2312"/>
          <w:snapToGrid/>
          <w:spacing w:val="0"/>
          <w:sz w:val="32"/>
          <w:szCs w:val="32"/>
          <w:highlight w:val="none"/>
          <w:lang w:val="en-US" w:eastAsia="zh-CN"/>
        </w:rPr>
        <w:t>财政部关于印发</w:t>
      </w:r>
      <w:r>
        <w:rPr>
          <w:rFonts w:hint="eastAsia" w:ascii="仿宋_GB2312" w:hAnsi="仿宋_GB2312" w:eastAsia="仿宋_GB2312" w:cs="仿宋_GB2312"/>
          <w:snapToGrid/>
          <w:spacing w:val="0"/>
          <w:sz w:val="32"/>
          <w:szCs w:val="32"/>
          <w:highlight w:val="none"/>
          <w:lang w:val="en-US" w:eastAsia="zh-CN"/>
        </w:rPr>
        <w:t>〈</w:t>
      </w:r>
      <w:r>
        <w:rPr>
          <w:rFonts w:eastAsia="仿宋_GB2312"/>
          <w:snapToGrid/>
          <w:spacing w:val="0"/>
          <w:sz w:val="32"/>
          <w:szCs w:val="32"/>
          <w:highlight w:val="none"/>
        </w:rPr>
        <w:t>彩票公益金管理办法</w:t>
      </w:r>
      <w:r>
        <w:rPr>
          <w:rFonts w:hint="eastAsia" w:ascii="仿宋_GB2312" w:hAnsi="仿宋_GB2312" w:eastAsia="仿宋_GB2312" w:cs="仿宋_GB2312"/>
          <w:snapToGrid/>
          <w:spacing w:val="0"/>
          <w:sz w:val="32"/>
          <w:szCs w:val="32"/>
          <w:highlight w:val="none"/>
        </w:rPr>
        <w:t>〉</w:t>
      </w:r>
      <w:r>
        <w:rPr>
          <w:rFonts w:hint="eastAsia" w:eastAsia="仿宋_GB2312"/>
          <w:snapToGrid/>
          <w:spacing w:val="0"/>
          <w:sz w:val="32"/>
          <w:szCs w:val="32"/>
          <w:highlight w:val="none"/>
          <w:lang w:val="en-US" w:eastAsia="zh-CN"/>
        </w:rPr>
        <w:t>的通知</w:t>
      </w:r>
      <w:r>
        <w:rPr>
          <w:rFonts w:eastAsia="仿宋_GB2312"/>
          <w:snapToGrid/>
          <w:spacing w:val="0"/>
          <w:sz w:val="32"/>
          <w:szCs w:val="32"/>
          <w:highlight w:val="none"/>
        </w:rPr>
        <w:t>》</w:t>
      </w:r>
      <w:r>
        <w:rPr>
          <w:rFonts w:hint="eastAsia" w:eastAsia="仿宋_GB2312"/>
          <w:snapToGrid/>
          <w:spacing w:val="0"/>
          <w:sz w:val="32"/>
          <w:szCs w:val="32"/>
          <w:highlight w:val="none"/>
          <w:lang w:eastAsia="zh-CN"/>
        </w:rPr>
        <w:t>（</w:t>
      </w:r>
      <w:r>
        <w:rPr>
          <w:rFonts w:eastAsia="仿宋_GB2312"/>
          <w:snapToGrid/>
          <w:spacing w:val="0"/>
          <w:sz w:val="32"/>
          <w:szCs w:val="32"/>
          <w:highlight w:val="none"/>
        </w:rPr>
        <w:t>财综〔20</w:t>
      </w:r>
      <w:r>
        <w:rPr>
          <w:rFonts w:hint="eastAsia" w:eastAsia="仿宋_GB2312"/>
          <w:snapToGrid/>
          <w:spacing w:val="0"/>
          <w:sz w:val="32"/>
          <w:szCs w:val="32"/>
          <w:highlight w:val="none"/>
          <w:lang w:val="en-US" w:eastAsia="zh-CN"/>
        </w:rPr>
        <w:t>21</w:t>
      </w:r>
      <w:r>
        <w:rPr>
          <w:rFonts w:eastAsia="仿宋_GB2312"/>
          <w:snapToGrid/>
          <w:spacing w:val="0"/>
          <w:sz w:val="32"/>
          <w:szCs w:val="32"/>
          <w:highlight w:val="none"/>
        </w:rPr>
        <w:t>〕</w:t>
      </w:r>
      <w:r>
        <w:rPr>
          <w:rFonts w:hint="eastAsia" w:eastAsia="仿宋_GB2312"/>
          <w:snapToGrid/>
          <w:spacing w:val="0"/>
          <w:sz w:val="32"/>
          <w:szCs w:val="32"/>
          <w:highlight w:val="none"/>
          <w:lang w:val="en-US" w:eastAsia="zh-CN"/>
        </w:rPr>
        <w:t>1</w:t>
      </w:r>
      <w:r>
        <w:rPr>
          <w:rFonts w:hint="eastAsia" w:eastAsia="仿宋_GB2312"/>
          <w:snapToGrid/>
          <w:spacing w:val="0"/>
          <w:sz w:val="32"/>
          <w:szCs w:val="32"/>
          <w:lang w:val="en-US" w:eastAsia="zh-CN"/>
        </w:rPr>
        <w:t>8</w:t>
      </w:r>
      <w:r>
        <w:rPr>
          <w:rFonts w:eastAsia="仿宋_GB2312"/>
          <w:snapToGrid/>
          <w:spacing w:val="0"/>
          <w:sz w:val="32"/>
          <w:szCs w:val="32"/>
        </w:rPr>
        <w:t>号</w:t>
      </w:r>
      <w:r>
        <w:rPr>
          <w:rFonts w:hint="eastAsia" w:eastAsia="仿宋_GB2312"/>
          <w:snapToGrid/>
          <w:spacing w:val="0"/>
          <w:sz w:val="32"/>
          <w:szCs w:val="32"/>
          <w:lang w:eastAsia="zh-CN"/>
        </w:rPr>
        <w:t>），</w:t>
      </w:r>
      <w:r>
        <w:rPr>
          <w:rFonts w:eastAsia="仿宋_GB2312"/>
          <w:snapToGrid/>
          <w:spacing w:val="0"/>
          <w:sz w:val="32"/>
          <w:szCs w:val="32"/>
        </w:rPr>
        <w:t>以及省级财政预算资金管理有关规定</w:t>
      </w:r>
      <w:r>
        <w:rPr>
          <w:rFonts w:hint="eastAsia" w:eastAsia="仿宋_GB2312"/>
          <w:snapToGrid/>
          <w:spacing w:val="0"/>
          <w:sz w:val="32"/>
          <w:szCs w:val="32"/>
          <w:lang w:eastAsia="zh-CN"/>
        </w:rPr>
        <w:t>，</w:t>
      </w:r>
      <w:r>
        <w:rPr>
          <w:rFonts w:eastAsia="仿宋_GB2312"/>
          <w:snapToGrid/>
          <w:spacing w:val="0"/>
          <w:sz w:val="32"/>
          <w:szCs w:val="32"/>
        </w:rPr>
        <w:t>制定本办法。</w:t>
      </w:r>
    </w:p>
    <w:p w14:paraId="12D2FCA0">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第二</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本办法所称省级福利彩票公益金</w:t>
      </w:r>
      <w:r>
        <w:rPr>
          <w:rFonts w:hint="eastAsia" w:eastAsia="仿宋_GB2312"/>
          <w:snapToGrid/>
          <w:spacing w:val="0"/>
          <w:sz w:val="32"/>
          <w:szCs w:val="32"/>
          <w:lang w:eastAsia="zh-CN"/>
        </w:rPr>
        <w:t>（</w:t>
      </w:r>
      <w:r>
        <w:rPr>
          <w:rFonts w:eastAsia="仿宋_GB2312"/>
          <w:snapToGrid/>
          <w:spacing w:val="0"/>
          <w:sz w:val="32"/>
          <w:szCs w:val="32"/>
        </w:rPr>
        <w:t>以下简称福彩公益金</w:t>
      </w:r>
      <w:r>
        <w:rPr>
          <w:rFonts w:hint="eastAsia" w:eastAsia="仿宋_GB2312"/>
          <w:snapToGrid/>
          <w:spacing w:val="0"/>
          <w:sz w:val="32"/>
          <w:szCs w:val="32"/>
          <w:lang w:eastAsia="zh-CN"/>
        </w:rPr>
        <w:t>）</w:t>
      </w:r>
      <w:r>
        <w:rPr>
          <w:rFonts w:eastAsia="仿宋_GB2312"/>
          <w:snapToGrid/>
          <w:spacing w:val="0"/>
          <w:sz w:val="32"/>
          <w:szCs w:val="32"/>
        </w:rPr>
        <w:t>是指根据国家和省有关政策，从省级集中福利彩票公益金</w:t>
      </w:r>
      <w:r>
        <w:rPr>
          <w:rFonts w:hint="eastAsia" w:eastAsia="仿宋_GB2312"/>
          <w:snapToGrid/>
          <w:spacing w:val="0"/>
          <w:sz w:val="32"/>
          <w:szCs w:val="32"/>
          <w:lang w:val="en-US" w:eastAsia="zh-CN"/>
        </w:rPr>
        <w:t>留成部分</w:t>
      </w:r>
      <w:r>
        <w:rPr>
          <w:rFonts w:eastAsia="仿宋_GB2312"/>
          <w:snapToGrid/>
          <w:spacing w:val="0"/>
          <w:sz w:val="32"/>
          <w:szCs w:val="32"/>
          <w:highlight w:val="none"/>
        </w:rPr>
        <w:t>中按一定比例安排用于</w:t>
      </w:r>
      <w:r>
        <w:rPr>
          <w:rFonts w:eastAsia="仿宋_GB2312"/>
          <w:snapToGrid/>
          <w:spacing w:val="0"/>
          <w:sz w:val="32"/>
          <w:szCs w:val="32"/>
        </w:rPr>
        <w:t>民政领域社会福利事业发展的专项资金。</w:t>
      </w:r>
    </w:p>
    <w:p w14:paraId="41524EEE">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第三</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福彩公益金纳入政府性基金预算，</w:t>
      </w:r>
      <w:r>
        <w:rPr>
          <w:rFonts w:hint="eastAsia" w:eastAsia="仿宋_GB2312"/>
          <w:snapToGrid/>
          <w:spacing w:val="0"/>
          <w:sz w:val="32"/>
          <w:szCs w:val="32"/>
          <w:lang w:val="en-US" w:eastAsia="zh-CN"/>
        </w:rPr>
        <w:t>由</w:t>
      </w:r>
      <w:r>
        <w:rPr>
          <w:rFonts w:eastAsia="仿宋_GB2312"/>
          <w:snapToGrid/>
          <w:spacing w:val="0"/>
          <w:sz w:val="32"/>
          <w:szCs w:val="32"/>
        </w:rPr>
        <w:t>财政、民政部门按职责共同管理</w:t>
      </w:r>
      <w:r>
        <w:rPr>
          <w:rFonts w:hint="eastAsia" w:eastAsia="仿宋_GB2312"/>
          <w:snapToGrid/>
          <w:spacing w:val="0"/>
          <w:sz w:val="32"/>
          <w:szCs w:val="32"/>
          <w:lang w:eastAsia="zh-CN"/>
        </w:rPr>
        <w:t>，</w:t>
      </w:r>
      <w:r>
        <w:rPr>
          <w:rFonts w:eastAsia="仿宋_GB2312"/>
          <w:snapToGrid/>
          <w:spacing w:val="0"/>
          <w:sz w:val="32"/>
          <w:szCs w:val="32"/>
        </w:rPr>
        <w:t>与一般公共预算资金统筹安排使用、统一管理。</w:t>
      </w:r>
    </w:p>
    <w:p w14:paraId="4633C100">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第四</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福彩公益金</w:t>
      </w:r>
      <w:r>
        <w:rPr>
          <w:rFonts w:hint="eastAsia" w:eastAsia="仿宋_GB2312"/>
          <w:snapToGrid/>
          <w:spacing w:val="0"/>
          <w:sz w:val="32"/>
          <w:szCs w:val="32"/>
        </w:rPr>
        <w:t>使用管理应当严格执行国家法律法规和财务规章制度，接受财政、审计、民政等部门的监督和检查</w:t>
      </w:r>
      <w:r>
        <w:rPr>
          <w:rFonts w:hint="eastAsia" w:eastAsia="仿宋_GB2312"/>
          <w:snapToGrid/>
          <w:spacing w:val="0"/>
          <w:sz w:val="32"/>
          <w:szCs w:val="32"/>
          <w:lang w:eastAsia="zh-CN"/>
        </w:rPr>
        <w:t>。</w:t>
      </w:r>
    </w:p>
    <w:p w14:paraId="3AD33FA1">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ascii="仿宋" w:hAnsi="仿宋" w:eastAsia="仿宋_GB2312" w:cs="仿宋"/>
          <w:snapToGrid/>
          <w:color w:val="000000"/>
          <w:spacing w:val="0"/>
          <w:kern w:val="0"/>
          <w:sz w:val="32"/>
          <w:szCs w:val="32"/>
          <w:lang w:val="en-US" w:eastAsia="en-US" w:bidi="ar-SA"/>
        </w:rPr>
      </w:pPr>
      <w:r>
        <w:rPr>
          <w:rFonts w:ascii="黑体" w:hAnsi="黑体" w:eastAsia="黑体" w:cs="黑体"/>
          <w:snapToGrid/>
          <w:spacing w:val="0"/>
          <w:sz w:val="32"/>
          <w:szCs w:val="32"/>
        </w:rPr>
        <w:t>第</w:t>
      </w:r>
      <w:r>
        <w:rPr>
          <w:rFonts w:hint="eastAsia" w:ascii="黑体" w:hAnsi="黑体" w:eastAsia="黑体" w:cs="黑体"/>
          <w:snapToGrid/>
          <w:spacing w:val="0"/>
          <w:sz w:val="32"/>
          <w:szCs w:val="32"/>
          <w:lang w:val="en-US" w:eastAsia="zh-CN"/>
        </w:rPr>
        <w:t>五</w:t>
      </w:r>
      <w:r>
        <w:rPr>
          <w:rFonts w:hint="eastAsia" w:ascii="黑体" w:hAnsi="黑体" w:eastAsia="黑体" w:cs="黑体"/>
          <w:snapToGrid/>
          <w:spacing w:val="0"/>
          <w:sz w:val="32"/>
          <w:szCs w:val="32"/>
          <w:lang w:eastAsia="zh-CN"/>
        </w:rPr>
        <w:t xml:space="preserve">条  </w:t>
      </w:r>
      <w:r>
        <w:rPr>
          <w:rFonts w:ascii="仿宋" w:hAnsi="仿宋" w:eastAsia="仿宋_GB2312" w:cs="仿宋"/>
          <w:snapToGrid/>
          <w:color w:val="000000"/>
          <w:spacing w:val="0"/>
          <w:kern w:val="0"/>
          <w:sz w:val="32"/>
          <w:szCs w:val="32"/>
          <w:lang w:val="en-US" w:eastAsia="en-US" w:bidi="ar-SA"/>
        </w:rPr>
        <w:t>财政部门负责会同民政部门制定福彩公益金管理制度，审核、批复福彩公益金预算，及时拨付资金，指导民政部门实施预算绩效管理，公开福彩公益金筹集、分配和使用情况信息。</w:t>
      </w:r>
    </w:p>
    <w:p w14:paraId="7C20D3AE">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w:t>
      </w:r>
      <w:r>
        <w:rPr>
          <w:rFonts w:hint="eastAsia" w:ascii="黑体" w:hAnsi="黑体" w:eastAsia="黑体" w:cs="黑体"/>
          <w:snapToGrid/>
          <w:spacing w:val="0"/>
          <w:sz w:val="32"/>
          <w:szCs w:val="32"/>
          <w:lang w:val="en-US" w:eastAsia="zh-CN"/>
        </w:rPr>
        <w:t>六</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民政部门负责福彩公益金资助项目实施方案制定、预算申报、预算执行、资金日常管理，实施项目跟踪监管、绩效</w:t>
      </w:r>
      <w:r>
        <w:rPr>
          <w:rFonts w:hint="eastAsia" w:eastAsia="仿宋_GB2312"/>
          <w:snapToGrid/>
          <w:spacing w:val="0"/>
          <w:sz w:val="32"/>
          <w:szCs w:val="32"/>
          <w:lang w:val="en-US" w:eastAsia="zh-CN"/>
        </w:rPr>
        <w:t>管理</w:t>
      </w:r>
      <w:r>
        <w:rPr>
          <w:rFonts w:eastAsia="仿宋_GB2312"/>
          <w:snapToGrid/>
          <w:spacing w:val="0"/>
          <w:sz w:val="32"/>
          <w:szCs w:val="32"/>
        </w:rPr>
        <w:t>，公开福彩公益金的使用规模、资助项目和执行情况等信息。</w:t>
      </w:r>
    </w:p>
    <w:p w14:paraId="21ADD386">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hint="eastAsia" w:ascii="黑体" w:hAnsi="黑体" w:eastAsia="黑体" w:cs="黑体"/>
          <w:snapToGrid/>
          <w:spacing w:val="0"/>
          <w:sz w:val="32"/>
          <w:szCs w:val="32"/>
          <w:lang w:eastAsia="zh-CN"/>
        </w:rPr>
        <w:t>第</w:t>
      </w:r>
      <w:r>
        <w:rPr>
          <w:rFonts w:hint="eastAsia" w:ascii="黑体" w:hAnsi="黑体" w:eastAsia="黑体" w:cs="黑体"/>
          <w:snapToGrid/>
          <w:spacing w:val="0"/>
          <w:sz w:val="32"/>
          <w:szCs w:val="32"/>
          <w:lang w:val="en-US" w:eastAsia="zh-CN"/>
        </w:rPr>
        <w:t>七</w:t>
      </w:r>
      <w:r>
        <w:rPr>
          <w:rFonts w:hint="eastAsia" w:ascii="黑体" w:hAnsi="黑体" w:eastAsia="黑体" w:cs="黑体"/>
          <w:snapToGrid/>
          <w:spacing w:val="0"/>
          <w:sz w:val="32"/>
          <w:szCs w:val="32"/>
          <w:lang w:eastAsia="zh-CN"/>
        </w:rPr>
        <w:t xml:space="preserve">条  </w:t>
      </w:r>
      <w:r>
        <w:rPr>
          <w:rFonts w:hint="eastAsia" w:ascii="仿宋_GB2312" w:hAnsi="仿宋_GB2312" w:eastAsia="仿宋_GB2312" w:cs="仿宋_GB2312"/>
          <w:snapToGrid/>
          <w:spacing w:val="0"/>
          <w:sz w:val="32"/>
          <w:szCs w:val="32"/>
        </w:rPr>
        <w:t>福彩公益金</w:t>
      </w:r>
      <w:r>
        <w:rPr>
          <w:rFonts w:hint="eastAsia" w:ascii="仿宋_GB2312" w:hAnsi="仿宋_GB2312" w:eastAsia="仿宋_GB2312" w:cs="仿宋_GB2312"/>
          <w:snapToGrid/>
          <w:spacing w:val="0"/>
          <w:sz w:val="32"/>
          <w:szCs w:val="32"/>
          <w:lang w:val="en-US" w:eastAsia="zh-CN"/>
        </w:rPr>
        <w:t>支出方向</w:t>
      </w:r>
      <w:r>
        <w:rPr>
          <w:rFonts w:hint="eastAsia" w:ascii="仿宋_GB2312" w:hAnsi="仿宋_GB2312" w:eastAsia="仿宋_GB2312" w:cs="仿宋_GB2312"/>
          <w:snapToGrid/>
          <w:spacing w:val="0"/>
          <w:sz w:val="32"/>
          <w:szCs w:val="32"/>
        </w:rPr>
        <w:t>遵循福利彩票“扶老、助残、救孤、济困”的发行宗旨，主要用于</w:t>
      </w:r>
      <w:r>
        <w:rPr>
          <w:rFonts w:hint="eastAsia" w:ascii="仿宋_GB2312" w:hAnsi="仿宋_GB2312" w:eastAsia="仿宋_GB2312" w:cs="仿宋_GB2312"/>
          <w:snapToGrid/>
          <w:spacing w:val="0"/>
          <w:sz w:val="32"/>
          <w:szCs w:val="32"/>
          <w:lang w:eastAsia="zh-CN"/>
        </w:rPr>
        <w:t>资助</w:t>
      </w:r>
      <w:r>
        <w:rPr>
          <w:rFonts w:hint="eastAsia" w:ascii="仿宋_GB2312" w:hAnsi="仿宋_GB2312" w:eastAsia="仿宋_GB2312" w:cs="仿宋_GB2312"/>
          <w:snapToGrid/>
          <w:spacing w:val="0"/>
          <w:sz w:val="32"/>
          <w:szCs w:val="32"/>
          <w:lang w:val="en-US" w:eastAsia="zh-CN"/>
        </w:rPr>
        <w:t>服务</w:t>
      </w:r>
      <w:r>
        <w:rPr>
          <w:rFonts w:hint="eastAsia" w:ascii="仿宋_GB2312" w:hAnsi="仿宋_GB2312" w:eastAsia="仿宋_GB2312" w:cs="仿宋_GB2312"/>
          <w:snapToGrid/>
          <w:spacing w:val="0"/>
          <w:sz w:val="32"/>
          <w:szCs w:val="32"/>
        </w:rPr>
        <w:t>老年人、残疾人、儿童</w:t>
      </w:r>
      <w:r>
        <w:rPr>
          <w:rFonts w:hint="eastAsia" w:ascii="仿宋_GB2312" w:hAnsi="仿宋_GB2312" w:eastAsia="仿宋_GB2312" w:cs="仿宋_GB2312"/>
          <w:snapToGrid/>
          <w:spacing w:val="0"/>
          <w:sz w:val="32"/>
          <w:szCs w:val="32"/>
          <w:lang w:eastAsia="zh-CN"/>
        </w:rPr>
        <w:t>、</w:t>
      </w:r>
      <w:r>
        <w:rPr>
          <w:rFonts w:hint="eastAsia" w:ascii="仿宋_GB2312" w:hAnsi="仿宋_GB2312" w:eastAsia="仿宋_GB2312" w:cs="仿宋_GB2312"/>
          <w:snapToGrid/>
          <w:spacing w:val="0"/>
          <w:sz w:val="32"/>
          <w:szCs w:val="32"/>
          <w:lang w:val="en-US" w:eastAsia="zh-CN"/>
        </w:rPr>
        <w:t>低保特困</w:t>
      </w:r>
      <w:r>
        <w:rPr>
          <w:rFonts w:hint="eastAsia" w:ascii="仿宋_GB2312" w:hAnsi="仿宋_GB2312" w:eastAsia="仿宋_GB2312" w:cs="仿宋_GB2312"/>
          <w:snapToGrid/>
          <w:spacing w:val="0"/>
          <w:sz w:val="32"/>
          <w:szCs w:val="32"/>
        </w:rPr>
        <w:t>等特殊群体的社会福利项目</w:t>
      </w:r>
      <w:r>
        <w:rPr>
          <w:rFonts w:hint="eastAsia" w:ascii="仿宋_GB2312" w:hAnsi="仿宋_GB2312" w:eastAsia="仿宋_GB2312" w:cs="仿宋_GB2312"/>
          <w:snapToGrid/>
          <w:spacing w:val="0"/>
          <w:sz w:val="32"/>
          <w:szCs w:val="32"/>
          <w:lang w:eastAsia="zh-CN"/>
        </w:rPr>
        <w:t>，</w:t>
      </w:r>
      <w:r>
        <w:rPr>
          <w:rFonts w:hint="eastAsia" w:ascii="仿宋_GB2312" w:hAnsi="仿宋_GB2312" w:eastAsia="仿宋_GB2312" w:cs="仿宋_GB2312"/>
          <w:snapToGrid/>
          <w:spacing w:val="0"/>
          <w:sz w:val="32"/>
          <w:szCs w:val="32"/>
          <w:lang w:val="en-US" w:eastAsia="zh-CN"/>
        </w:rPr>
        <w:t>且用于社会福利事业项目资金的55%以上用于支持发展养老服务</w:t>
      </w:r>
      <w:r>
        <w:rPr>
          <w:rFonts w:hint="eastAsia" w:ascii="仿宋_GB2312" w:hAnsi="仿宋_GB2312" w:eastAsia="仿宋_GB2312" w:cs="仿宋_GB2312"/>
          <w:snapToGrid/>
          <w:spacing w:val="0"/>
          <w:sz w:val="32"/>
          <w:szCs w:val="32"/>
        </w:rPr>
        <w:t>。重大政策调整涉及福彩公益金分配比例的按相关规定执行。</w:t>
      </w:r>
    </w:p>
    <w:p w14:paraId="5A3C76D6">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hint="eastAsia" w:eastAsia="仿宋_GB2312"/>
          <w:snapToGrid/>
          <w:spacing w:val="0"/>
          <w:sz w:val="32"/>
          <w:szCs w:val="32"/>
          <w:lang w:eastAsia="zh-CN"/>
        </w:rPr>
      </w:pPr>
      <w:r>
        <w:rPr>
          <w:rFonts w:hint="eastAsia" w:eastAsia="仿宋_GB2312"/>
          <w:snapToGrid/>
          <w:spacing w:val="0"/>
          <w:sz w:val="32"/>
          <w:szCs w:val="32"/>
          <w:lang w:eastAsia="zh-CN"/>
        </w:rPr>
        <w:t>【山东省人民政府办公厅关于印发《山东省养老服务高质量发展三年行动计划（2024-2026年）》的通知</w:t>
      </w:r>
      <w:r>
        <w:rPr>
          <w:rFonts w:hint="eastAsia" w:eastAsia="仿宋_GB2312"/>
          <w:snapToGrid/>
          <w:spacing w:val="0"/>
          <w:sz w:val="32"/>
          <w:szCs w:val="32"/>
          <w:lang w:val="en-US" w:eastAsia="zh-CN"/>
        </w:rPr>
        <w:t>规定，各级用于社会福利事业的彩票公益金，将不低于55%的资金用于支持发展养老服务</w:t>
      </w:r>
      <w:r>
        <w:rPr>
          <w:rFonts w:hint="eastAsia" w:eastAsia="仿宋_GB2312"/>
          <w:snapToGrid/>
          <w:spacing w:val="0"/>
          <w:sz w:val="32"/>
          <w:szCs w:val="32"/>
          <w:lang w:eastAsia="zh-CN"/>
        </w:rPr>
        <w:t>】</w:t>
      </w:r>
    </w:p>
    <w:p w14:paraId="53A0C61E">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hint="eastAsia" w:eastAsia="仿宋_GB2312"/>
          <w:snapToGrid/>
          <w:spacing w:val="0"/>
          <w:sz w:val="32"/>
          <w:szCs w:val="32"/>
          <w:lang w:eastAsia="zh-CN"/>
        </w:rPr>
      </w:pPr>
      <w:r>
        <w:rPr>
          <w:rFonts w:ascii="黑体" w:hAnsi="黑体" w:eastAsia="黑体" w:cs="黑体"/>
          <w:snapToGrid/>
          <w:spacing w:val="0"/>
          <w:sz w:val="32"/>
          <w:szCs w:val="32"/>
        </w:rPr>
        <w:t>第八</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福彩公益金</w:t>
      </w:r>
      <w:r>
        <w:rPr>
          <w:rFonts w:hint="eastAsia" w:eastAsia="仿宋_GB2312"/>
          <w:snapToGrid/>
          <w:spacing w:val="0"/>
          <w:sz w:val="32"/>
          <w:szCs w:val="32"/>
          <w:lang w:val="en-US" w:eastAsia="zh-CN"/>
        </w:rPr>
        <w:t>不得用于以下支出：已有财政拨款保障的各类工资福利、奖金等人员支出；与实施福彩公益金项目无直接关系的人员支出、日常运转支出及其他支出；公务接待、公务用车购置及运行等支出；以营利为目的的相关支出；建设楼堂馆所及职工住宅；其他国家和省规定禁止列支的支出</w:t>
      </w:r>
      <w:r>
        <w:rPr>
          <w:rFonts w:hint="eastAsia" w:eastAsia="仿宋_GB2312"/>
          <w:snapToGrid/>
          <w:spacing w:val="0"/>
          <w:sz w:val="32"/>
          <w:szCs w:val="32"/>
          <w:lang w:eastAsia="zh-CN"/>
        </w:rPr>
        <w:t>。</w:t>
      </w:r>
    </w:p>
    <w:p w14:paraId="5EF131D6">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hint="eastAsia" w:eastAsia="仿宋_GB2312"/>
          <w:snapToGrid/>
          <w:spacing w:val="0"/>
          <w:sz w:val="32"/>
          <w:szCs w:val="32"/>
          <w:lang w:val="en-US" w:eastAsia="zh-CN"/>
        </w:rPr>
      </w:pPr>
      <w:r>
        <w:rPr>
          <w:rFonts w:ascii="黑体" w:hAnsi="黑体" w:eastAsia="黑体" w:cs="黑体"/>
          <w:snapToGrid/>
          <w:spacing w:val="0"/>
          <w:sz w:val="32"/>
          <w:szCs w:val="32"/>
        </w:rPr>
        <w:t>第九</w:t>
      </w:r>
      <w:r>
        <w:rPr>
          <w:rFonts w:hint="eastAsia" w:ascii="黑体" w:hAnsi="黑体" w:eastAsia="黑体" w:cs="黑体"/>
          <w:snapToGrid/>
          <w:spacing w:val="0"/>
          <w:sz w:val="32"/>
          <w:szCs w:val="32"/>
          <w:lang w:eastAsia="zh-CN"/>
        </w:rPr>
        <w:t xml:space="preserve">条  </w:t>
      </w:r>
      <w:r>
        <w:rPr>
          <w:rFonts w:hint="eastAsia" w:eastAsia="仿宋_GB2312"/>
          <w:snapToGrid/>
          <w:spacing w:val="0"/>
          <w:sz w:val="32"/>
          <w:szCs w:val="32"/>
          <w:lang w:val="en-US" w:eastAsia="zh-CN"/>
        </w:rPr>
        <w:t>民政部门在申报预算时，应按规定编制绩效目标并报同级财政部门审核，未编制绩效目标的项目不纳入项目库。重大政策、项目应进行前期绩效评估。福彩公益金与一般公共预算等资金共同安排的项目应合并编制预算绩效目标。</w:t>
      </w:r>
    </w:p>
    <w:p w14:paraId="7115A3E4">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hint="default" w:eastAsia="仿宋_GB2312"/>
          <w:snapToGrid/>
          <w:spacing w:val="0"/>
          <w:sz w:val="32"/>
          <w:szCs w:val="32"/>
          <w:lang w:val="en-US"/>
        </w:rPr>
      </w:pPr>
      <w:r>
        <w:rPr>
          <w:rFonts w:ascii="黑体" w:hAnsi="黑体" w:eastAsia="黑体" w:cs="黑体"/>
          <w:snapToGrid/>
          <w:spacing w:val="0"/>
          <w:sz w:val="32"/>
          <w:szCs w:val="32"/>
        </w:rPr>
        <w:t>第十</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省财政厅、省民政厅</w:t>
      </w:r>
      <w:r>
        <w:rPr>
          <w:rFonts w:hint="eastAsia" w:eastAsia="仿宋_GB2312"/>
          <w:snapToGrid/>
          <w:spacing w:val="0"/>
          <w:sz w:val="32"/>
          <w:szCs w:val="32"/>
          <w:lang w:eastAsia="zh-CN"/>
        </w:rPr>
        <w:t>结合实际情况</w:t>
      </w:r>
      <w:r>
        <w:rPr>
          <w:rFonts w:eastAsia="仿宋_GB2312"/>
          <w:snapToGrid/>
          <w:spacing w:val="0"/>
          <w:sz w:val="32"/>
          <w:szCs w:val="32"/>
        </w:rPr>
        <w:t>，采取因素法和项目法等方式分配福彩公益金。</w:t>
      </w:r>
      <w:r>
        <w:rPr>
          <w:rFonts w:hint="eastAsia" w:eastAsia="仿宋_GB2312"/>
          <w:snapToGrid/>
          <w:spacing w:val="0"/>
          <w:sz w:val="32"/>
          <w:szCs w:val="32"/>
        </w:rPr>
        <w:t>补助地方资金采取因素法与项目法相结合的方式分配，以因素法为主，根据工作需要可在部分改革任务较重的支持领域采取项目法分配。</w:t>
      </w:r>
      <w:r>
        <w:rPr>
          <w:rFonts w:hint="eastAsia" w:eastAsia="仿宋_GB2312"/>
          <w:snapToGrid/>
          <w:spacing w:val="0"/>
          <w:sz w:val="32"/>
          <w:szCs w:val="32"/>
          <w:lang w:val="en-US" w:eastAsia="zh-CN"/>
        </w:rPr>
        <w:t>福彩公益金与一般公共预算资金共同安排的项目应合并执行一般公共预算资金的分配方式。</w:t>
      </w:r>
    </w:p>
    <w:p w14:paraId="04A36949">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ascii="黑体" w:hAnsi="黑体" w:eastAsia="黑体" w:cs="黑体"/>
          <w:snapToGrid/>
          <w:spacing w:val="0"/>
          <w:sz w:val="32"/>
          <w:szCs w:val="32"/>
        </w:rPr>
      </w:pPr>
      <w:r>
        <w:rPr>
          <w:rFonts w:ascii="黑体" w:hAnsi="黑体" w:eastAsia="黑体" w:cs="黑体"/>
          <w:snapToGrid/>
          <w:spacing w:val="0"/>
          <w:sz w:val="32"/>
          <w:szCs w:val="32"/>
        </w:rPr>
        <w:t>第十</w:t>
      </w:r>
      <w:r>
        <w:rPr>
          <w:rFonts w:hint="eastAsia" w:ascii="黑体" w:hAnsi="黑体" w:eastAsia="黑体" w:cs="黑体"/>
          <w:snapToGrid/>
          <w:spacing w:val="0"/>
          <w:sz w:val="32"/>
          <w:szCs w:val="32"/>
          <w:lang w:val="en-US" w:eastAsia="zh-CN"/>
        </w:rPr>
        <w:t>一</w:t>
      </w:r>
      <w:r>
        <w:rPr>
          <w:rFonts w:hint="eastAsia" w:ascii="黑体" w:hAnsi="黑体" w:eastAsia="黑体" w:cs="黑体"/>
          <w:snapToGrid/>
          <w:spacing w:val="0"/>
          <w:sz w:val="32"/>
          <w:szCs w:val="32"/>
          <w:lang w:eastAsia="zh-CN"/>
        </w:rPr>
        <w:t xml:space="preserve">条  </w:t>
      </w:r>
      <w:r>
        <w:rPr>
          <w:rFonts w:hint="eastAsia" w:eastAsia="仿宋_GB2312"/>
          <w:snapToGrid/>
          <w:spacing w:val="0"/>
          <w:sz w:val="32"/>
          <w:szCs w:val="32"/>
          <w:lang w:val="en-US" w:eastAsia="zh-CN"/>
        </w:rPr>
        <w:t>实行</w:t>
      </w:r>
      <w:r>
        <w:rPr>
          <w:rFonts w:eastAsia="仿宋_GB2312"/>
          <w:snapToGrid/>
          <w:spacing w:val="0"/>
          <w:sz w:val="32"/>
          <w:szCs w:val="32"/>
        </w:rPr>
        <w:t>因素法分配的福彩公益金</w:t>
      </w:r>
      <w:r>
        <w:rPr>
          <w:rFonts w:hint="eastAsia" w:eastAsia="仿宋_GB2312"/>
          <w:snapToGrid/>
          <w:spacing w:val="0"/>
          <w:sz w:val="32"/>
          <w:szCs w:val="32"/>
          <w:lang w:val="en-US" w:eastAsia="zh-CN"/>
        </w:rPr>
        <w:t>应</w:t>
      </w:r>
      <w:r>
        <w:rPr>
          <w:rFonts w:eastAsia="仿宋_GB2312"/>
          <w:snapToGrid/>
          <w:spacing w:val="0"/>
          <w:sz w:val="32"/>
          <w:szCs w:val="32"/>
        </w:rPr>
        <w:t>科学选择分配因素和权重，分配因素主要从工作任务、财政困难程度、工作绩效等方面选择。</w:t>
      </w:r>
    </w:p>
    <w:p w14:paraId="15B6C9FC">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hint="eastAsia" w:eastAsia="仿宋_GB2312"/>
          <w:snapToGrid/>
          <w:spacing w:val="0"/>
          <w:sz w:val="32"/>
          <w:szCs w:val="32"/>
          <w:lang w:val="en-US" w:eastAsia="zh-CN"/>
        </w:rPr>
      </w:pPr>
      <w:r>
        <w:rPr>
          <w:rFonts w:ascii="黑体" w:hAnsi="黑体" w:eastAsia="黑体" w:cs="黑体"/>
          <w:snapToGrid/>
          <w:spacing w:val="0"/>
          <w:sz w:val="32"/>
          <w:szCs w:val="32"/>
        </w:rPr>
        <w:t>第十</w:t>
      </w:r>
      <w:r>
        <w:rPr>
          <w:rFonts w:hint="eastAsia" w:ascii="黑体" w:hAnsi="黑体" w:eastAsia="黑体" w:cs="黑体"/>
          <w:snapToGrid/>
          <w:spacing w:val="0"/>
          <w:sz w:val="32"/>
          <w:szCs w:val="32"/>
          <w:lang w:val="en-US" w:eastAsia="zh-CN"/>
        </w:rPr>
        <w:t>三</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实行项目法</w:t>
      </w:r>
      <w:r>
        <w:rPr>
          <w:rFonts w:hint="eastAsia" w:eastAsia="仿宋_GB2312"/>
          <w:snapToGrid/>
          <w:spacing w:val="0"/>
          <w:sz w:val="32"/>
          <w:szCs w:val="32"/>
          <w:lang w:val="en-US" w:eastAsia="zh-CN"/>
        </w:rPr>
        <w:t>分配</w:t>
      </w:r>
      <w:r>
        <w:rPr>
          <w:rFonts w:eastAsia="仿宋_GB2312"/>
          <w:snapToGrid/>
          <w:spacing w:val="0"/>
          <w:sz w:val="32"/>
          <w:szCs w:val="32"/>
        </w:rPr>
        <w:t>的福彩公益金应实行项目库管理。各级民政部门要根据工作实际</w:t>
      </w:r>
      <w:r>
        <w:rPr>
          <w:rFonts w:hint="eastAsia" w:eastAsia="仿宋_GB2312"/>
          <w:snapToGrid/>
          <w:spacing w:val="0"/>
          <w:sz w:val="32"/>
          <w:szCs w:val="32"/>
          <w:lang w:val="en-US" w:eastAsia="zh-CN"/>
        </w:rPr>
        <w:t>做实做细项目，确保资金全部支出项目按规定列入项目库，并按轻重缓急排序，实现定期更新和滚动管理。未纳入项目库管理的项目原则上不安排预算。</w:t>
      </w:r>
    </w:p>
    <w:p w14:paraId="5D16E72E">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第十</w:t>
      </w:r>
      <w:r>
        <w:rPr>
          <w:rFonts w:hint="eastAsia" w:ascii="黑体" w:hAnsi="黑体" w:eastAsia="黑体" w:cs="黑体"/>
          <w:snapToGrid/>
          <w:spacing w:val="0"/>
          <w:sz w:val="32"/>
          <w:szCs w:val="32"/>
          <w:lang w:val="en-US" w:eastAsia="zh-CN"/>
        </w:rPr>
        <w:t>四</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福彩公益金分配按下列程序管理：</w:t>
      </w:r>
    </w:p>
    <w:p w14:paraId="46B52C5D">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hint="eastAsia" w:eastAsia="仿宋_GB2312"/>
          <w:snapToGrid/>
          <w:spacing w:val="0"/>
          <w:sz w:val="32"/>
          <w:szCs w:val="32"/>
          <w:lang w:eastAsia="zh-CN"/>
        </w:rPr>
        <w:t>（</w:t>
      </w:r>
      <w:r>
        <w:rPr>
          <w:rFonts w:eastAsia="仿宋_GB2312"/>
          <w:snapToGrid/>
          <w:spacing w:val="0"/>
          <w:sz w:val="32"/>
          <w:szCs w:val="32"/>
        </w:rPr>
        <w:t>一</w:t>
      </w:r>
      <w:r>
        <w:rPr>
          <w:rFonts w:hint="eastAsia" w:eastAsia="仿宋_GB2312"/>
          <w:snapToGrid/>
          <w:spacing w:val="0"/>
          <w:sz w:val="32"/>
          <w:szCs w:val="32"/>
          <w:lang w:eastAsia="zh-CN"/>
        </w:rPr>
        <w:t>）</w:t>
      </w:r>
      <w:r>
        <w:rPr>
          <w:rFonts w:eastAsia="仿宋_GB2312"/>
          <w:snapToGrid/>
          <w:spacing w:val="0"/>
          <w:sz w:val="32"/>
          <w:szCs w:val="32"/>
        </w:rPr>
        <w:t>省财政厅、省民政厅共同商定福彩公益金分配方式和原则。</w:t>
      </w:r>
    </w:p>
    <w:p w14:paraId="57500788">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hint="eastAsia" w:eastAsia="仿宋_GB2312"/>
          <w:snapToGrid/>
          <w:spacing w:val="0"/>
          <w:sz w:val="32"/>
          <w:szCs w:val="32"/>
          <w:lang w:eastAsia="zh-CN"/>
        </w:rPr>
        <w:t>（</w:t>
      </w:r>
      <w:r>
        <w:rPr>
          <w:rFonts w:eastAsia="仿宋_GB2312"/>
          <w:snapToGrid/>
          <w:spacing w:val="0"/>
          <w:sz w:val="32"/>
          <w:szCs w:val="32"/>
        </w:rPr>
        <w:t>二</w:t>
      </w:r>
      <w:r>
        <w:rPr>
          <w:rFonts w:hint="eastAsia" w:eastAsia="仿宋_GB2312"/>
          <w:snapToGrid/>
          <w:spacing w:val="0"/>
          <w:sz w:val="32"/>
          <w:szCs w:val="32"/>
          <w:lang w:eastAsia="zh-CN"/>
        </w:rPr>
        <w:t>）</w:t>
      </w:r>
      <w:r>
        <w:rPr>
          <w:rFonts w:eastAsia="仿宋_GB2312"/>
          <w:snapToGrid/>
          <w:spacing w:val="0"/>
          <w:sz w:val="32"/>
          <w:szCs w:val="32"/>
        </w:rPr>
        <w:t>省民政厅按照商定分配方式，根据项目管理办法在规定期限内提出资金分配方案，按程序报省财政厅。</w:t>
      </w:r>
    </w:p>
    <w:p w14:paraId="00FF5A58">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hint="eastAsia" w:eastAsia="仿宋_GB2312"/>
          <w:snapToGrid/>
          <w:spacing w:val="0"/>
          <w:sz w:val="32"/>
          <w:szCs w:val="32"/>
          <w:lang w:eastAsia="zh-CN"/>
        </w:rPr>
        <w:t>（</w:t>
      </w:r>
      <w:r>
        <w:rPr>
          <w:rFonts w:eastAsia="仿宋_GB2312"/>
          <w:snapToGrid/>
          <w:spacing w:val="0"/>
          <w:sz w:val="32"/>
          <w:szCs w:val="32"/>
        </w:rPr>
        <w:t>三</w:t>
      </w:r>
      <w:r>
        <w:rPr>
          <w:rFonts w:hint="eastAsia" w:eastAsia="仿宋_GB2312"/>
          <w:snapToGrid/>
          <w:spacing w:val="0"/>
          <w:sz w:val="32"/>
          <w:szCs w:val="32"/>
          <w:lang w:eastAsia="zh-CN"/>
        </w:rPr>
        <w:t>）</w:t>
      </w:r>
      <w:r>
        <w:rPr>
          <w:rFonts w:eastAsia="仿宋_GB2312"/>
          <w:snapToGrid/>
          <w:spacing w:val="0"/>
          <w:sz w:val="32"/>
          <w:szCs w:val="32"/>
        </w:rPr>
        <w:t>省财政厅根据省民政厅正式报送的资金分配方案下达资金。</w:t>
      </w:r>
    </w:p>
    <w:p w14:paraId="2FF535F1">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第十</w:t>
      </w:r>
      <w:r>
        <w:rPr>
          <w:rFonts w:hint="eastAsia" w:ascii="黑体" w:hAnsi="黑体" w:eastAsia="黑体" w:cs="黑体"/>
          <w:snapToGrid/>
          <w:spacing w:val="0"/>
          <w:sz w:val="32"/>
          <w:szCs w:val="32"/>
          <w:lang w:val="en-US" w:eastAsia="zh-CN"/>
        </w:rPr>
        <w:t>五</w:t>
      </w:r>
      <w:r>
        <w:rPr>
          <w:rFonts w:hint="eastAsia" w:ascii="黑体" w:hAnsi="黑体" w:eastAsia="黑体" w:cs="黑体"/>
          <w:snapToGrid/>
          <w:spacing w:val="0"/>
          <w:sz w:val="32"/>
          <w:szCs w:val="32"/>
          <w:lang w:eastAsia="zh-CN"/>
        </w:rPr>
        <w:t xml:space="preserve">条  </w:t>
      </w:r>
      <w:r>
        <w:rPr>
          <w:rFonts w:hint="eastAsia" w:eastAsia="仿宋_GB2312"/>
          <w:snapToGrid/>
          <w:spacing w:val="0"/>
          <w:sz w:val="32"/>
          <w:szCs w:val="32"/>
          <w:lang w:val="en-US" w:eastAsia="zh-CN"/>
        </w:rPr>
        <w:t>市</w:t>
      </w:r>
      <w:r>
        <w:rPr>
          <w:rFonts w:hint="eastAsia" w:eastAsia="仿宋_GB2312"/>
          <w:snapToGrid/>
          <w:spacing w:val="0"/>
          <w:sz w:val="32"/>
          <w:szCs w:val="32"/>
        </w:rPr>
        <w:t>级财政、民政部门收到补助地方资金预算文件后，应当根据《中华人民共和国预算法》等规定，</w:t>
      </w:r>
      <w:r>
        <w:rPr>
          <w:rFonts w:hint="eastAsia" w:eastAsia="仿宋_GB2312"/>
          <w:snapToGrid/>
          <w:spacing w:val="0"/>
          <w:sz w:val="32"/>
          <w:szCs w:val="32"/>
          <w:lang w:val="en-US" w:eastAsia="zh-CN"/>
        </w:rPr>
        <w:t>及时</w:t>
      </w:r>
      <w:r>
        <w:rPr>
          <w:rFonts w:hint="eastAsia" w:eastAsia="仿宋_GB2312"/>
          <w:snapToGrid/>
          <w:spacing w:val="0"/>
          <w:sz w:val="32"/>
          <w:szCs w:val="32"/>
        </w:rPr>
        <w:t>将资金分解下达</w:t>
      </w:r>
      <w:r>
        <w:rPr>
          <w:rFonts w:eastAsia="仿宋_GB2312"/>
          <w:snapToGrid/>
          <w:spacing w:val="0"/>
          <w:sz w:val="32"/>
          <w:szCs w:val="32"/>
        </w:rPr>
        <w:t>。</w:t>
      </w:r>
    </w:p>
    <w:p w14:paraId="21DBBE62">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第十</w:t>
      </w:r>
      <w:r>
        <w:rPr>
          <w:rFonts w:hint="eastAsia" w:ascii="黑体" w:hAnsi="黑体" w:eastAsia="黑体" w:cs="黑体"/>
          <w:snapToGrid/>
          <w:spacing w:val="0"/>
          <w:sz w:val="32"/>
          <w:szCs w:val="32"/>
          <w:lang w:val="en-US" w:eastAsia="zh-CN"/>
        </w:rPr>
        <w:t>六</w:t>
      </w:r>
      <w:r>
        <w:rPr>
          <w:rFonts w:hint="eastAsia" w:ascii="黑体" w:hAnsi="黑体" w:eastAsia="黑体" w:cs="黑体"/>
          <w:snapToGrid/>
          <w:spacing w:val="0"/>
          <w:sz w:val="32"/>
          <w:szCs w:val="32"/>
          <w:lang w:eastAsia="zh-CN"/>
        </w:rPr>
        <w:t xml:space="preserve">条 </w:t>
      </w:r>
      <w:r>
        <w:rPr>
          <w:rFonts w:hint="eastAsia" w:ascii="黑体" w:hAnsi="黑体" w:eastAsia="黑体" w:cs="黑体"/>
          <w:snapToGrid/>
          <w:spacing w:val="0"/>
          <w:sz w:val="32"/>
          <w:szCs w:val="32"/>
          <w:lang w:val="en-US" w:eastAsia="zh-CN"/>
        </w:rPr>
        <w:t xml:space="preserve"> </w:t>
      </w:r>
      <w:r>
        <w:rPr>
          <w:rFonts w:hint="eastAsia" w:eastAsia="仿宋_GB2312"/>
          <w:snapToGrid/>
          <w:spacing w:val="0"/>
          <w:sz w:val="32"/>
          <w:szCs w:val="32"/>
          <w:lang w:val="en-US" w:eastAsia="zh-CN"/>
        </w:rPr>
        <w:t>各级财政、</w:t>
      </w:r>
      <w:r>
        <w:rPr>
          <w:rFonts w:eastAsia="仿宋_GB2312"/>
          <w:snapToGrid/>
          <w:spacing w:val="0"/>
          <w:sz w:val="32"/>
          <w:szCs w:val="32"/>
        </w:rPr>
        <w:t>民政部门要严格预算执行，不得擅自调整预算，不得截留、挤占、挪用资金。在预算执行过程中，如发生项目变更、终止，确需调整预算的，应当按照有关规定和程序进行审批。</w:t>
      </w:r>
    </w:p>
    <w:p w14:paraId="36E556EF">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第十</w:t>
      </w:r>
      <w:r>
        <w:rPr>
          <w:rFonts w:hint="eastAsia" w:ascii="黑体" w:hAnsi="黑体" w:eastAsia="黑体" w:cs="黑体"/>
          <w:snapToGrid/>
          <w:spacing w:val="0"/>
          <w:sz w:val="32"/>
          <w:szCs w:val="32"/>
          <w:lang w:val="en-US" w:eastAsia="zh-CN"/>
        </w:rPr>
        <w:t>七</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福彩公益金</w:t>
      </w:r>
      <w:r>
        <w:rPr>
          <w:rFonts w:hint="eastAsia" w:eastAsia="仿宋_GB2312"/>
          <w:snapToGrid/>
          <w:spacing w:val="0"/>
          <w:sz w:val="32"/>
          <w:szCs w:val="32"/>
        </w:rPr>
        <w:t>支付按照国库集中支付制度有关规定执行。</w:t>
      </w:r>
    </w:p>
    <w:p w14:paraId="2732F551">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第十</w:t>
      </w:r>
      <w:r>
        <w:rPr>
          <w:rFonts w:hint="eastAsia" w:ascii="黑体" w:hAnsi="黑体" w:eastAsia="黑体" w:cs="黑体"/>
          <w:snapToGrid/>
          <w:spacing w:val="0"/>
          <w:sz w:val="32"/>
          <w:szCs w:val="32"/>
          <w:lang w:val="en-US" w:eastAsia="zh-CN"/>
        </w:rPr>
        <w:t>八</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福彩公益金结转结余资金使用管理，按照财政部门有关结转结余资金使用管理办法执行。</w:t>
      </w:r>
    </w:p>
    <w:p w14:paraId="50388038">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w:t>
      </w:r>
      <w:r>
        <w:rPr>
          <w:rFonts w:hint="eastAsia" w:ascii="黑体" w:hAnsi="黑体" w:eastAsia="黑体" w:cs="黑体"/>
          <w:snapToGrid/>
          <w:spacing w:val="0"/>
          <w:sz w:val="32"/>
          <w:szCs w:val="32"/>
          <w:lang w:val="en-US" w:eastAsia="zh-CN"/>
        </w:rPr>
        <w:t>十九</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对直接用于特殊困难群众的福彩公益金，原则上实行社会化发放；对用于基础设施建设和设施设备更新改造的项目资金，严格按照预算安排、项目实施进度和实施方案据实拨付资金，属政府采购的，按照政府采购规定执行。</w:t>
      </w:r>
    </w:p>
    <w:p w14:paraId="0AAFEE3E">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hint="eastAsia" w:ascii="黑体" w:hAnsi="黑体" w:eastAsia="黑体" w:cs="黑体"/>
          <w:snapToGrid/>
          <w:spacing w:val="0"/>
          <w:sz w:val="32"/>
          <w:szCs w:val="32"/>
          <w:lang w:eastAsia="zh-CN"/>
        </w:rPr>
        <w:t>第</w:t>
      </w:r>
      <w:r>
        <w:rPr>
          <w:rFonts w:hint="eastAsia" w:ascii="黑体" w:hAnsi="黑体" w:eastAsia="黑体" w:cs="黑体"/>
          <w:snapToGrid/>
          <w:spacing w:val="0"/>
          <w:sz w:val="32"/>
          <w:szCs w:val="32"/>
          <w:lang w:val="en-US" w:eastAsia="zh-CN"/>
        </w:rPr>
        <w:t>二十</w:t>
      </w:r>
      <w:r>
        <w:rPr>
          <w:rFonts w:hint="eastAsia" w:ascii="黑体" w:hAnsi="黑体" w:eastAsia="黑体" w:cs="黑体"/>
          <w:snapToGrid/>
          <w:spacing w:val="0"/>
          <w:sz w:val="32"/>
          <w:szCs w:val="32"/>
          <w:lang w:eastAsia="zh-CN"/>
        </w:rPr>
        <w:t>条</w:t>
      </w:r>
      <w:r>
        <w:rPr>
          <w:rFonts w:hint="eastAsia" w:eastAsia="仿宋_GB2312"/>
          <w:snapToGrid/>
          <w:spacing w:val="0"/>
          <w:sz w:val="32"/>
          <w:szCs w:val="32"/>
          <w:lang w:eastAsia="zh-CN"/>
        </w:rPr>
        <w:t xml:space="preserve">  </w:t>
      </w:r>
      <w:r>
        <w:rPr>
          <w:rFonts w:hint="eastAsia" w:eastAsia="仿宋_GB2312"/>
          <w:snapToGrid/>
          <w:spacing w:val="0"/>
          <w:sz w:val="32"/>
          <w:szCs w:val="32"/>
        </w:rPr>
        <w:t>各级民政部门应进一步加大</w:t>
      </w:r>
      <w:r>
        <w:rPr>
          <w:rFonts w:hint="eastAsia" w:eastAsia="仿宋_GB2312"/>
          <w:snapToGrid/>
          <w:spacing w:val="0"/>
          <w:sz w:val="32"/>
          <w:szCs w:val="32"/>
          <w:lang w:val="en-US" w:eastAsia="zh-CN"/>
        </w:rPr>
        <w:t>福彩公益金</w:t>
      </w:r>
      <w:r>
        <w:rPr>
          <w:rFonts w:hint="eastAsia" w:eastAsia="仿宋_GB2312"/>
          <w:snapToGrid/>
          <w:spacing w:val="0"/>
          <w:sz w:val="32"/>
          <w:szCs w:val="32"/>
        </w:rPr>
        <w:t>使用和资助项目宣传，积极传播彩票公益属性和社会责任，更好展现</w:t>
      </w:r>
      <w:r>
        <w:rPr>
          <w:rFonts w:hint="eastAsia" w:eastAsia="仿宋_GB2312"/>
          <w:snapToGrid/>
          <w:spacing w:val="0"/>
          <w:sz w:val="32"/>
          <w:szCs w:val="32"/>
          <w:lang w:val="en-US" w:eastAsia="zh-CN"/>
        </w:rPr>
        <w:t>福彩</w:t>
      </w:r>
      <w:r>
        <w:rPr>
          <w:rFonts w:hint="eastAsia" w:eastAsia="仿宋_GB2312"/>
          <w:snapToGrid/>
          <w:spacing w:val="0"/>
          <w:sz w:val="32"/>
          <w:szCs w:val="32"/>
        </w:rPr>
        <w:t>公益金在促进社会公益事业发展中的重要作用，不断提升</w:t>
      </w:r>
      <w:r>
        <w:rPr>
          <w:rFonts w:hint="eastAsia" w:eastAsia="仿宋_GB2312"/>
          <w:snapToGrid/>
          <w:spacing w:val="0"/>
          <w:sz w:val="32"/>
          <w:szCs w:val="32"/>
          <w:lang w:val="en-US" w:eastAsia="zh-CN"/>
        </w:rPr>
        <w:t>福利</w:t>
      </w:r>
      <w:r>
        <w:rPr>
          <w:rFonts w:hint="eastAsia" w:eastAsia="仿宋_GB2312"/>
          <w:snapToGrid/>
          <w:spacing w:val="0"/>
          <w:sz w:val="32"/>
          <w:szCs w:val="32"/>
        </w:rPr>
        <w:t>彩票</w:t>
      </w:r>
      <w:r>
        <w:rPr>
          <w:rFonts w:hint="eastAsia" w:eastAsia="仿宋_GB2312"/>
          <w:snapToGrid/>
          <w:spacing w:val="0"/>
          <w:sz w:val="32"/>
          <w:szCs w:val="32"/>
          <w:lang w:val="en-US" w:eastAsia="zh-CN"/>
        </w:rPr>
        <w:t>的</w:t>
      </w:r>
      <w:r>
        <w:rPr>
          <w:rFonts w:hint="eastAsia" w:eastAsia="仿宋_GB2312"/>
          <w:snapToGrid/>
          <w:spacing w:val="0"/>
          <w:sz w:val="32"/>
          <w:szCs w:val="32"/>
        </w:rPr>
        <w:t>公信力和影响力。</w:t>
      </w:r>
    </w:p>
    <w:p w14:paraId="648DE46E">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hint="eastAsia" w:ascii="黑体" w:hAnsi="黑体" w:eastAsia="黑体" w:cs="黑体"/>
          <w:snapToGrid/>
          <w:spacing w:val="0"/>
          <w:sz w:val="32"/>
          <w:szCs w:val="32"/>
          <w:lang w:eastAsia="zh-CN"/>
        </w:rPr>
        <w:t>第</w:t>
      </w:r>
      <w:r>
        <w:rPr>
          <w:rFonts w:hint="eastAsia" w:ascii="黑体" w:hAnsi="黑体" w:eastAsia="黑体" w:cs="黑体"/>
          <w:snapToGrid/>
          <w:spacing w:val="0"/>
          <w:sz w:val="32"/>
          <w:szCs w:val="32"/>
          <w:lang w:val="en-US" w:eastAsia="zh-CN"/>
        </w:rPr>
        <w:t>二十一</w:t>
      </w:r>
      <w:r>
        <w:rPr>
          <w:rFonts w:hint="eastAsia" w:ascii="黑体" w:hAnsi="黑体" w:eastAsia="黑体" w:cs="黑体"/>
          <w:snapToGrid/>
          <w:spacing w:val="0"/>
          <w:sz w:val="32"/>
          <w:szCs w:val="32"/>
          <w:lang w:eastAsia="zh-CN"/>
        </w:rPr>
        <w:t>条</w:t>
      </w:r>
      <w:r>
        <w:rPr>
          <w:rFonts w:hint="eastAsia" w:eastAsia="仿宋_GB2312"/>
          <w:snapToGrid/>
          <w:spacing w:val="0"/>
          <w:sz w:val="32"/>
          <w:szCs w:val="32"/>
          <w:lang w:eastAsia="zh-CN"/>
        </w:rPr>
        <w:t xml:space="preserve">  </w:t>
      </w:r>
      <w:r>
        <w:rPr>
          <w:rFonts w:hint="eastAsia" w:eastAsia="仿宋_GB2312"/>
          <w:snapToGrid/>
          <w:spacing w:val="0"/>
          <w:sz w:val="32"/>
          <w:szCs w:val="32"/>
          <w:lang w:val="en-US" w:eastAsia="zh-CN"/>
        </w:rPr>
        <w:t>各级</w:t>
      </w:r>
      <w:r>
        <w:rPr>
          <w:rFonts w:eastAsia="仿宋_GB2312"/>
          <w:snapToGrid/>
          <w:spacing w:val="0"/>
          <w:sz w:val="32"/>
          <w:szCs w:val="32"/>
        </w:rPr>
        <w:t>民政部门应当于每年6月底前</w:t>
      </w:r>
      <w:r>
        <w:rPr>
          <w:rFonts w:hint="eastAsia" w:eastAsia="仿宋_GB2312"/>
          <w:snapToGrid/>
          <w:spacing w:val="0"/>
          <w:sz w:val="32"/>
          <w:szCs w:val="32"/>
          <w:lang w:eastAsia="zh-CN"/>
        </w:rPr>
        <w:t>，</w:t>
      </w:r>
      <w:r>
        <w:rPr>
          <w:rFonts w:eastAsia="仿宋_GB2312"/>
          <w:snapToGrid/>
          <w:spacing w:val="0"/>
          <w:sz w:val="32"/>
          <w:szCs w:val="32"/>
        </w:rPr>
        <w:t>向社会公告上</w:t>
      </w:r>
      <w:r>
        <w:rPr>
          <w:rFonts w:hint="eastAsia" w:eastAsia="仿宋_GB2312"/>
          <w:snapToGrid/>
          <w:spacing w:val="0"/>
          <w:sz w:val="32"/>
          <w:szCs w:val="32"/>
          <w:lang w:val="en-US" w:eastAsia="zh-CN"/>
        </w:rPr>
        <w:t>一</w:t>
      </w:r>
      <w:r>
        <w:rPr>
          <w:rFonts w:eastAsia="仿宋_GB2312"/>
          <w:snapToGrid/>
          <w:spacing w:val="0"/>
          <w:sz w:val="32"/>
          <w:szCs w:val="32"/>
        </w:rPr>
        <w:t>年度福彩公益金使用规模、资助项目、执行情况和实际效果等信息。</w:t>
      </w:r>
    </w:p>
    <w:p w14:paraId="22FF6F84">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w:t>
      </w:r>
      <w:r>
        <w:rPr>
          <w:rFonts w:hint="eastAsia" w:ascii="黑体" w:hAnsi="黑体" w:eastAsia="黑体" w:cs="黑体"/>
          <w:snapToGrid/>
          <w:spacing w:val="0"/>
          <w:sz w:val="32"/>
          <w:szCs w:val="32"/>
          <w:lang w:val="en-US" w:eastAsia="zh-CN"/>
        </w:rPr>
        <w:t>二十二</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根据预算绩效管理相关要求，</w:t>
      </w:r>
      <w:r>
        <w:rPr>
          <w:rFonts w:hint="eastAsia" w:eastAsia="仿宋_GB2312"/>
          <w:snapToGrid/>
          <w:spacing w:val="0"/>
          <w:sz w:val="32"/>
          <w:szCs w:val="32"/>
          <w:lang w:val="en-US" w:eastAsia="zh-CN"/>
        </w:rPr>
        <w:t>各级</w:t>
      </w:r>
      <w:r>
        <w:rPr>
          <w:rFonts w:eastAsia="仿宋_GB2312"/>
          <w:snapToGrid/>
          <w:spacing w:val="0"/>
          <w:sz w:val="32"/>
          <w:szCs w:val="32"/>
        </w:rPr>
        <w:t>民政部门</w:t>
      </w:r>
      <w:r>
        <w:rPr>
          <w:rFonts w:hint="eastAsia" w:eastAsia="仿宋_GB2312"/>
          <w:snapToGrid/>
          <w:spacing w:val="0"/>
          <w:sz w:val="32"/>
          <w:szCs w:val="32"/>
          <w:lang w:val="en-US" w:eastAsia="zh-CN"/>
        </w:rPr>
        <w:t>是</w:t>
      </w:r>
      <w:r>
        <w:rPr>
          <w:rFonts w:eastAsia="仿宋_GB2312"/>
          <w:snapToGrid/>
          <w:spacing w:val="0"/>
          <w:sz w:val="32"/>
          <w:szCs w:val="32"/>
        </w:rPr>
        <w:t>福彩公益金预算绩效管理责任主体，对福彩公益金实施全过程预算绩效管理。</w:t>
      </w:r>
    </w:p>
    <w:p w14:paraId="52EB03AF">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w:t>
      </w:r>
      <w:r>
        <w:rPr>
          <w:rFonts w:hint="eastAsia" w:ascii="黑体" w:hAnsi="黑体" w:eastAsia="黑体" w:cs="黑体"/>
          <w:snapToGrid/>
          <w:spacing w:val="0"/>
          <w:sz w:val="32"/>
          <w:szCs w:val="32"/>
          <w:lang w:val="en-US" w:eastAsia="zh-CN"/>
        </w:rPr>
        <w:t>二十三</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年度预算执行完毕或阶段性任务完成后，</w:t>
      </w:r>
      <w:r>
        <w:rPr>
          <w:rFonts w:hint="eastAsia" w:eastAsia="仿宋_GB2312"/>
          <w:snapToGrid/>
          <w:spacing w:val="0"/>
          <w:sz w:val="32"/>
          <w:szCs w:val="32"/>
          <w:lang w:val="en-US" w:eastAsia="zh-CN"/>
        </w:rPr>
        <w:t>根据</w:t>
      </w:r>
      <w:r>
        <w:rPr>
          <w:rFonts w:eastAsia="仿宋_GB2312"/>
          <w:snapToGrid/>
          <w:spacing w:val="0"/>
          <w:sz w:val="32"/>
          <w:szCs w:val="32"/>
        </w:rPr>
        <w:t>财政</w:t>
      </w:r>
      <w:r>
        <w:rPr>
          <w:rFonts w:hint="eastAsia" w:eastAsia="仿宋_GB2312"/>
          <w:snapToGrid/>
          <w:spacing w:val="0"/>
          <w:sz w:val="32"/>
          <w:szCs w:val="32"/>
          <w:lang w:val="en-US" w:eastAsia="zh-CN"/>
        </w:rPr>
        <w:t>部门要求，</w:t>
      </w:r>
      <w:r>
        <w:rPr>
          <w:rFonts w:eastAsia="仿宋_GB2312"/>
          <w:snapToGrid/>
          <w:spacing w:val="0"/>
          <w:sz w:val="32"/>
          <w:szCs w:val="32"/>
        </w:rPr>
        <w:t>民政部门</w:t>
      </w:r>
      <w:r>
        <w:rPr>
          <w:rFonts w:hint="eastAsia" w:eastAsia="仿宋_GB2312"/>
          <w:snapToGrid/>
          <w:spacing w:val="0"/>
          <w:sz w:val="32"/>
          <w:szCs w:val="32"/>
          <w:lang w:val="en-US" w:eastAsia="zh-CN"/>
        </w:rPr>
        <w:t>应及时组织</w:t>
      </w:r>
      <w:r>
        <w:rPr>
          <w:rFonts w:eastAsia="仿宋_GB2312"/>
          <w:snapToGrid/>
          <w:spacing w:val="0"/>
          <w:sz w:val="32"/>
          <w:szCs w:val="32"/>
        </w:rPr>
        <w:t>开展绩效评价</w:t>
      </w:r>
      <w:r>
        <w:rPr>
          <w:rFonts w:hint="eastAsia" w:eastAsia="仿宋_GB2312"/>
          <w:snapToGrid/>
          <w:spacing w:val="0"/>
          <w:sz w:val="32"/>
          <w:szCs w:val="32"/>
          <w:lang w:val="en-US" w:eastAsia="zh-CN"/>
        </w:rPr>
        <w:t>工作，</w:t>
      </w:r>
      <w:r>
        <w:rPr>
          <w:rFonts w:eastAsia="仿宋_GB2312"/>
          <w:snapToGrid/>
          <w:spacing w:val="0"/>
          <w:sz w:val="32"/>
          <w:szCs w:val="32"/>
        </w:rPr>
        <w:t>将绩效评价结果作为以后年度预算安排的重要参考依据。</w:t>
      </w:r>
    </w:p>
    <w:p w14:paraId="429D5BD2">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第二十</w:t>
      </w:r>
      <w:r>
        <w:rPr>
          <w:rFonts w:hint="eastAsia" w:ascii="黑体" w:hAnsi="黑体" w:eastAsia="黑体" w:cs="黑体"/>
          <w:snapToGrid/>
          <w:spacing w:val="0"/>
          <w:sz w:val="32"/>
          <w:szCs w:val="32"/>
          <w:lang w:val="en-US" w:eastAsia="zh-CN"/>
        </w:rPr>
        <w:t>四</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各级财政、民政部门应当建立健全信息发布上报的内部报批审核机制，加强信息审核，对上报和发布</w:t>
      </w:r>
      <w:r>
        <w:rPr>
          <w:rFonts w:hint="eastAsia" w:eastAsia="仿宋_GB2312"/>
          <w:snapToGrid/>
          <w:spacing w:val="0"/>
          <w:sz w:val="32"/>
          <w:szCs w:val="32"/>
          <w:lang w:eastAsia="zh-CN"/>
        </w:rPr>
        <w:t>的信息</w:t>
      </w:r>
      <w:r>
        <w:rPr>
          <w:rFonts w:eastAsia="仿宋_GB2312"/>
          <w:snapToGrid/>
          <w:spacing w:val="0"/>
          <w:sz w:val="32"/>
          <w:szCs w:val="32"/>
        </w:rPr>
        <w:t>的真实性、准确性负责。</w:t>
      </w:r>
    </w:p>
    <w:p w14:paraId="6579D828">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第二十</w:t>
      </w:r>
      <w:r>
        <w:rPr>
          <w:rFonts w:hint="eastAsia" w:ascii="黑体" w:hAnsi="黑体" w:eastAsia="黑体" w:cs="黑体"/>
          <w:snapToGrid/>
          <w:spacing w:val="0"/>
          <w:sz w:val="32"/>
          <w:szCs w:val="32"/>
          <w:lang w:val="en-US" w:eastAsia="zh-CN"/>
        </w:rPr>
        <w:t>五</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各级财政、民政</w:t>
      </w:r>
      <w:r>
        <w:rPr>
          <w:rFonts w:hint="eastAsia" w:eastAsia="仿宋_GB2312"/>
          <w:snapToGrid/>
          <w:spacing w:val="0"/>
          <w:sz w:val="32"/>
          <w:szCs w:val="32"/>
          <w:lang w:val="en-US" w:eastAsia="zh-CN"/>
        </w:rPr>
        <w:t>部门</w:t>
      </w:r>
      <w:r>
        <w:rPr>
          <w:rFonts w:eastAsia="仿宋_GB2312"/>
          <w:snapToGrid/>
          <w:spacing w:val="0"/>
          <w:sz w:val="32"/>
          <w:szCs w:val="32"/>
        </w:rPr>
        <w:t>要严格按规定</w:t>
      </w:r>
      <w:r>
        <w:rPr>
          <w:rFonts w:hint="eastAsia" w:eastAsia="仿宋_GB2312"/>
          <w:snapToGrid/>
          <w:spacing w:val="0"/>
          <w:sz w:val="32"/>
          <w:szCs w:val="32"/>
          <w:lang w:val="en-US" w:eastAsia="zh-CN"/>
        </w:rPr>
        <w:t>管理</w:t>
      </w:r>
      <w:r>
        <w:rPr>
          <w:rFonts w:eastAsia="仿宋_GB2312"/>
          <w:snapToGrid/>
          <w:spacing w:val="0"/>
          <w:sz w:val="32"/>
          <w:szCs w:val="32"/>
        </w:rPr>
        <w:t>使用福彩公益金。对福彩公益金</w:t>
      </w:r>
      <w:r>
        <w:rPr>
          <w:rFonts w:hint="eastAsia" w:eastAsia="仿宋_GB2312"/>
          <w:snapToGrid/>
          <w:spacing w:val="0"/>
          <w:sz w:val="32"/>
          <w:szCs w:val="32"/>
          <w:lang w:val="en-US" w:eastAsia="zh-CN"/>
        </w:rPr>
        <w:t>的分配审核、</w:t>
      </w:r>
      <w:r>
        <w:rPr>
          <w:rFonts w:eastAsia="仿宋_GB2312"/>
          <w:snapToGrid/>
          <w:spacing w:val="0"/>
          <w:sz w:val="32"/>
          <w:szCs w:val="32"/>
        </w:rPr>
        <w:t>使用管理中</w:t>
      </w:r>
      <w:r>
        <w:rPr>
          <w:rFonts w:hint="eastAsia" w:eastAsia="仿宋_GB2312"/>
          <w:snapToGrid/>
          <w:spacing w:val="0"/>
          <w:sz w:val="32"/>
          <w:szCs w:val="32"/>
          <w:lang w:eastAsia="zh-CN"/>
        </w:rPr>
        <w:t>，</w:t>
      </w:r>
      <w:r>
        <w:rPr>
          <w:rFonts w:hint="eastAsia" w:eastAsia="仿宋_GB2312"/>
          <w:snapToGrid/>
          <w:spacing w:val="0"/>
          <w:sz w:val="32"/>
          <w:szCs w:val="32"/>
        </w:rPr>
        <w:t>存在违反本办法规定的行为，以及其他滥用职权、玩忽职守、徇私舞弊等违法违规行为的，依法追究相应责任。</w:t>
      </w:r>
    </w:p>
    <w:p w14:paraId="32770DB8">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eastAsia="仿宋_GB2312"/>
          <w:snapToGrid/>
          <w:spacing w:val="0"/>
          <w:sz w:val="32"/>
          <w:szCs w:val="32"/>
        </w:rPr>
      </w:pPr>
      <w:r>
        <w:rPr>
          <w:rFonts w:ascii="黑体" w:hAnsi="黑体" w:eastAsia="黑体" w:cs="黑体"/>
          <w:snapToGrid/>
          <w:spacing w:val="0"/>
          <w:sz w:val="32"/>
          <w:szCs w:val="32"/>
        </w:rPr>
        <w:t>第二十</w:t>
      </w:r>
      <w:r>
        <w:rPr>
          <w:rFonts w:hint="eastAsia" w:ascii="黑体" w:hAnsi="黑体" w:eastAsia="黑体" w:cs="黑体"/>
          <w:snapToGrid/>
          <w:spacing w:val="0"/>
          <w:sz w:val="32"/>
          <w:szCs w:val="32"/>
          <w:lang w:val="en-US" w:eastAsia="zh-CN"/>
        </w:rPr>
        <w:t>六</w:t>
      </w:r>
      <w:r>
        <w:rPr>
          <w:rFonts w:hint="eastAsia" w:ascii="黑体" w:hAnsi="黑体" w:eastAsia="黑体" w:cs="黑体"/>
          <w:snapToGrid/>
          <w:spacing w:val="0"/>
          <w:sz w:val="32"/>
          <w:szCs w:val="32"/>
          <w:lang w:eastAsia="zh-CN"/>
        </w:rPr>
        <w:t xml:space="preserve">条  </w:t>
      </w:r>
      <w:r>
        <w:rPr>
          <w:rFonts w:eastAsia="仿宋_GB2312"/>
          <w:snapToGrid/>
          <w:spacing w:val="0"/>
          <w:sz w:val="32"/>
          <w:szCs w:val="32"/>
        </w:rPr>
        <w:t>市县财政、民政部门可结合本地实际，制定本地区福彩公益金使用管理办法。</w:t>
      </w:r>
    </w:p>
    <w:p w14:paraId="75650024">
      <w:pPr>
        <w:pStyle w:val="2"/>
        <w:keepNext w:val="0"/>
        <w:keepLines w:val="0"/>
        <w:pageBreakBefore w:val="0"/>
        <w:widowControl w:val="0"/>
        <w:kinsoku/>
        <w:wordWrap/>
        <w:overflowPunct/>
        <w:topLinePunct w:val="0"/>
        <w:autoSpaceDE w:val="0"/>
        <w:autoSpaceDN w:val="0"/>
        <w:bidi w:val="0"/>
        <w:adjustRightInd w:val="0"/>
        <w:snapToGrid/>
        <w:spacing w:line="600" w:lineRule="exact"/>
        <w:ind w:left="0" w:right="0" w:firstLine="640" w:firstLineChars="200"/>
        <w:jc w:val="both"/>
        <w:textAlignment w:val="baseline"/>
        <w:rPr>
          <w:rFonts w:hint="default" w:ascii="Arial" w:eastAsia="仿宋_GB2312"/>
          <w:snapToGrid/>
          <w:spacing w:val="0"/>
          <w:sz w:val="32"/>
          <w:szCs w:val="32"/>
          <w:lang w:val="en-US" w:eastAsia="zh-CN"/>
        </w:rPr>
      </w:pPr>
      <w:r>
        <w:rPr>
          <w:rFonts w:ascii="黑体" w:hAnsi="黑体" w:eastAsia="黑体" w:cs="黑体"/>
          <w:snapToGrid/>
          <w:spacing w:val="0"/>
          <w:sz w:val="32"/>
          <w:szCs w:val="32"/>
        </w:rPr>
        <w:t>第二十</w:t>
      </w:r>
      <w:r>
        <w:rPr>
          <w:rFonts w:hint="eastAsia" w:ascii="黑体" w:hAnsi="黑体" w:eastAsia="黑体" w:cs="黑体"/>
          <w:snapToGrid/>
          <w:spacing w:val="0"/>
          <w:sz w:val="32"/>
          <w:szCs w:val="32"/>
          <w:lang w:val="en-US" w:eastAsia="zh-CN"/>
        </w:rPr>
        <w:t>七</w:t>
      </w:r>
      <w:r>
        <w:rPr>
          <w:rFonts w:hint="eastAsia" w:eastAsia="仿宋_GB2312"/>
          <w:snapToGrid/>
          <w:spacing w:val="0"/>
          <w:sz w:val="32"/>
          <w:szCs w:val="32"/>
          <w:lang w:eastAsia="zh-CN"/>
        </w:rPr>
        <w:t xml:space="preserve">条  </w:t>
      </w:r>
      <w:r>
        <w:rPr>
          <w:rFonts w:eastAsia="仿宋_GB2312"/>
          <w:snapToGrid/>
          <w:spacing w:val="0"/>
          <w:sz w:val="32"/>
          <w:szCs w:val="32"/>
        </w:rPr>
        <w:t>本办法自20</w:t>
      </w:r>
      <w:r>
        <w:rPr>
          <w:rFonts w:hint="eastAsia" w:eastAsia="仿宋_GB2312"/>
          <w:snapToGrid/>
          <w:spacing w:val="0"/>
          <w:sz w:val="32"/>
          <w:szCs w:val="32"/>
          <w:lang w:val="en-US" w:eastAsia="zh-CN"/>
        </w:rPr>
        <w:t>26</w:t>
      </w:r>
      <w:r>
        <w:rPr>
          <w:rFonts w:eastAsia="仿宋_GB2312"/>
          <w:snapToGrid/>
          <w:spacing w:val="0"/>
          <w:sz w:val="32"/>
          <w:szCs w:val="32"/>
        </w:rPr>
        <w:t>年</w:t>
      </w:r>
      <w:r>
        <w:rPr>
          <w:rFonts w:hint="eastAsia" w:eastAsia="仿宋_GB2312"/>
          <w:snapToGrid/>
          <w:spacing w:val="0"/>
          <w:sz w:val="32"/>
          <w:szCs w:val="32"/>
          <w:lang w:val="en-US" w:eastAsia="zh-CN"/>
        </w:rPr>
        <w:t>6</w:t>
      </w:r>
      <w:r>
        <w:rPr>
          <w:rFonts w:eastAsia="仿宋_GB2312"/>
          <w:snapToGrid/>
          <w:spacing w:val="0"/>
          <w:sz w:val="32"/>
          <w:szCs w:val="32"/>
        </w:rPr>
        <w:t>月1日起施行，有效期至20</w:t>
      </w:r>
      <w:r>
        <w:rPr>
          <w:rFonts w:hint="eastAsia" w:eastAsia="仿宋_GB2312"/>
          <w:snapToGrid/>
          <w:spacing w:val="0"/>
          <w:sz w:val="32"/>
          <w:szCs w:val="32"/>
          <w:lang w:val="en-US" w:eastAsia="zh-CN"/>
        </w:rPr>
        <w:t>***</w:t>
      </w:r>
      <w:r>
        <w:rPr>
          <w:rFonts w:eastAsia="仿宋_GB2312"/>
          <w:snapToGrid/>
          <w:spacing w:val="0"/>
          <w:sz w:val="32"/>
          <w:szCs w:val="32"/>
        </w:rPr>
        <w:t>年</w:t>
      </w:r>
      <w:r>
        <w:rPr>
          <w:rFonts w:hint="eastAsia" w:eastAsia="仿宋_GB2312"/>
          <w:snapToGrid/>
          <w:spacing w:val="0"/>
          <w:sz w:val="32"/>
          <w:szCs w:val="32"/>
          <w:lang w:val="en-US" w:eastAsia="zh-CN"/>
        </w:rPr>
        <w:t>**</w:t>
      </w:r>
      <w:r>
        <w:rPr>
          <w:rFonts w:eastAsia="仿宋_GB2312"/>
          <w:snapToGrid/>
          <w:spacing w:val="0"/>
          <w:sz w:val="32"/>
          <w:szCs w:val="32"/>
        </w:rPr>
        <w:t>月</w:t>
      </w:r>
      <w:r>
        <w:rPr>
          <w:rFonts w:hint="eastAsia" w:eastAsia="仿宋_GB2312"/>
          <w:snapToGrid/>
          <w:spacing w:val="0"/>
          <w:sz w:val="32"/>
          <w:szCs w:val="32"/>
          <w:lang w:val="en-US" w:eastAsia="zh-CN"/>
        </w:rPr>
        <w:t>**</w:t>
      </w:r>
      <w:r>
        <w:rPr>
          <w:rFonts w:eastAsia="仿宋_GB2312"/>
          <w:snapToGrid/>
          <w:spacing w:val="0"/>
          <w:sz w:val="32"/>
          <w:szCs w:val="32"/>
        </w:rPr>
        <w:t>日。</w:t>
      </w:r>
      <w:r>
        <w:rPr>
          <w:rFonts w:hint="eastAsia" w:eastAsia="仿宋_GB2312"/>
          <w:snapToGrid/>
          <w:spacing w:val="0"/>
          <w:sz w:val="32"/>
          <w:szCs w:val="32"/>
          <w:lang w:eastAsia="zh-CN"/>
        </w:rPr>
        <w:t>《</w:t>
      </w:r>
      <w:r>
        <w:rPr>
          <w:rFonts w:hint="eastAsia" w:eastAsia="仿宋_GB2312"/>
          <w:snapToGrid/>
          <w:spacing w:val="0"/>
          <w:sz w:val="32"/>
          <w:szCs w:val="32"/>
          <w:lang w:val="en-US" w:eastAsia="zh-CN"/>
        </w:rPr>
        <w:t>山东</w:t>
      </w:r>
      <w:r>
        <w:rPr>
          <w:rFonts w:hint="eastAsia" w:eastAsia="仿宋_GB2312"/>
          <w:snapToGrid/>
          <w:spacing w:val="0"/>
          <w:sz w:val="32"/>
          <w:szCs w:val="32"/>
        </w:rPr>
        <w:t>省财政厅</w:t>
      </w:r>
      <w:r>
        <w:rPr>
          <w:rFonts w:hint="eastAsia" w:eastAsia="仿宋_GB2312"/>
          <w:snapToGrid/>
          <w:spacing w:val="0"/>
          <w:sz w:val="32"/>
          <w:szCs w:val="32"/>
          <w:lang w:val="en-US" w:eastAsia="zh-CN"/>
        </w:rPr>
        <w:t>山东</w:t>
      </w:r>
      <w:r>
        <w:rPr>
          <w:rFonts w:hint="eastAsia" w:eastAsia="仿宋_GB2312"/>
          <w:snapToGrid/>
          <w:spacing w:val="0"/>
          <w:sz w:val="32"/>
          <w:szCs w:val="32"/>
        </w:rPr>
        <w:t>省民政厅</w:t>
      </w:r>
      <w:r>
        <w:rPr>
          <w:rFonts w:hint="eastAsia" w:eastAsia="仿宋_GB2312"/>
          <w:snapToGrid/>
          <w:spacing w:val="0"/>
          <w:sz w:val="32"/>
          <w:szCs w:val="32"/>
          <w:lang w:val="en-US" w:eastAsia="zh-CN"/>
        </w:rPr>
        <w:t>关于印发山东省</w:t>
      </w:r>
      <w:r>
        <w:rPr>
          <w:rFonts w:hint="eastAsia" w:eastAsia="仿宋_GB2312"/>
          <w:snapToGrid/>
          <w:spacing w:val="0"/>
          <w:sz w:val="32"/>
          <w:szCs w:val="32"/>
        </w:rPr>
        <w:t>省级福彩公益金使用管理办法</w:t>
      </w:r>
      <w:r>
        <w:rPr>
          <w:rFonts w:hint="eastAsia" w:eastAsia="仿宋_GB2312"/>
          <w:snapToGrid/>
          <w:spacing w:val="0"/>
          <w:sz w:val="32"/>
          <w:szCs w:val="32"/>
          <w:lang w:val="en-US" w:eastAsia="zh-CN"/>
        </w:rPr>
        <w:t>的通知</w:t>
      </w:r>
      <w:r>
        <w:rPr>
          <w:rFonts w:hint="eastAsia" w:eastAsia="仿宋_GB2312"/>
          <w:snapToGrid/>
          <w:spacing w:val="0"/>
          <w:sz w:val="32"/>
          <w:szCs w:val="32"/>
          <w:lang w:eastAsia="zh-CN"/>
        </w:rPr>
        <w:t>》</w:t>
      </w:r>
      <w:r>
        <w:rPr>
          <w:rFonts w:hint="eastAsia" w:eastAsia="仿宋_GB2312"/>
          <w:snapToGrid/>
          <w:spacing w:val="0"/>
          <w:sz w:val="32"/>
          <w:szCs w:val="32"/>
        </w:rPr>
        <w:t>（鲁财社〔2018〕65号</w:t>
      </w:r>
      <w:r>
        <w:rPr>
          <w:rFonts w:hint="eastAsia" w:eastAsia="仿宋_GB2312"/>
          <w:snapToGrid/>
          <w:spacing w:val="0"/>
          <w:sz w:val="32"/>
          <w:szCs w:val="32"/>
          <w:lang w:eastAsia="zh-CN"/>
        </w:rPr>
        <w:t>）</w:t>
      </w:r>
      <w:r>
        <w:rPr>
          <w:rFonts w:hint="eastAsia" w:eastAsia="仿宋_GB2312"/>
          <w:snapToGrid/>
          <w:spacing w:val="0"/>
          <w:sz w:val="32"/>
          <w:szCs w:val="32"/>
          <w:lang w:val="en-US" w:eastAsia="zh-CN"/>
        </w:rPr>
        <w:t>同时废止。</w:t>
      </w:r>
    </w:p>
    <w:sectPr>
      <w:footerReference r:id="rId5" w:type="default"/>
      <w:pgSz w:w="11900" w:h="16840"/>
      <w:pgMar w:top="1431" w:right="1309" w:bottom="1621" w:left="1629" w:header="0" w:footer="127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6A664">
    <w:pPr>
      <w:spacing w:before="1" w:line="232" w:lineRule="auto"/>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614AB9"/>
    <w:rsid w:val="00F44F67"/>
    <w:rsid w:val="017A34B9"/>
    <w:rsid w:val="01D34B7C"/>
    <w:rsid w:val="03743CA7"/>
    <w:rsid w:val="05CC0260"/>
    <w:rsid w:val="087F5A5E"/>
    <w:rsid w:val="09A17C56"/>
    <w:rsid w:val="0AAC240E"/>
    <w:rsid w:val="0B814422"/>
    <w:rsid w:val="103E0F42"/>
    <w:rsid w:val="11EB7CC0"/>
    <w:rsid w:val="128A572B"/>
    <w:rsid w:val="13936861"/>
    <w:rsid w:val="14A8633C"/>
    <w:rsid w:val="18095344"/>
    <w:rsid w:val="1A5C28A9"/>
    <w:rsid w:val="1B027E29"/>
    <w:rsid w:val="1C8054A9"/>
    <w:rsid w:val="21F03A2E"/>
    <w:rsid w:val="24B52B07"/>
    <w:rsid w:val="286D547B"/>
    <w:rsid w:val="2B17347C"/>
    <w:rsid w:val="2B5D7DF1"/>
    <w:rsid w:val="2B6F5066"/>
    <w:rsid w:val="321D581C"/>
    <w:rsid w:val="35E6061B"/>
    <w:rsid w:val="35F965A0"/>
    <w:rsid w:val="38514471"/>
    <w:rsid w:val="391D07F7"/>
    <w:rsid w:val="3B141786"/>
    <w:rsid w:val="3BC01FED"/>
    <w:rsid w:val="3C157564"/>
    <w:rsid w:val="3C1C08F2"/>
    <w:rsid w:val="3C335C3C"/>
    <w:rsid w:val="3CFD4BC8"/>
    <w:rsid w:val="3D0C0065"/>
    <w:rsid w:val="4011671E"/>
    <w:rsid w:val="41831414"/>
    <w:rsid w:val="41EC0D67"/>
    <w:rsid w:val="43AC6A00"/>
    <w:rsid w:val="44024872"/>
    <w:rsid w:val="47561677"/>
    <w:rsid w:val="4AE5143A"/>
    <w:rsid w:val="4C3D6D8F"/>
    <w:rsid w:val="4DB841F3"/>
    <w:rsid w:val="4DBF26D1"/>
    <w:rsid w:val="4FD55530"/>
    <w:rsid w:val="514A1AEC"/>
    <w:rsid w:val="518F73D9"/>
    <w:rsid w:val="519866AB"/>
    <w:rsid w:val="521340EE"/>
    <w:rsid w:val="53FF0DCE"/>
    <w:rsid w:val="55086807"/>
    <w:rsid w:val="56EE0C86"/>
    <w:rsid w:val="5974422C"/>
    <w:rsid w:val="5C9127DF"/>
    <w:rsid w:val="5FD650D9"/>
    <w:rsid w:val="619C1D31"/>
    <w:rsid w:val="61B054B5"/>
    <w:rsid w:val="634F07DE"/>
    <w:rsid w:val="64B32259"/>
    <w:rsid w:val="652C12F7"/>
    <w:rsid w:val="66462745"/>
    <w:rsid w:val="689A6E96"/>
    <w:rsid w:val="68A67D88"/>
    <w:rsid w:val="692F6953"/>
    <w:rsid w:val="69382960"/>
    <w:rsid w:val="69C2222A"/>
    <w:rsid w:val="6A716171"/>
    <w:rsid w:val="6B74058C"/>
    <w:rsid w:val="6D046742"/>
    <w:rsid w:val="6E4C47B8"/>
    <w:rsid w:val="6E753D0F"/>
    <w:rsid w:val="6ECC76A7"/>
    <w:rsid w:val="71327C95"/>
    <w:rsid w:val="74DB37A3"/>
    <w:rsid w:val="78034139"/>
    <w:rsid w:val="7B750F02"/>
    <w:rsid w:val="7C532E05"/>
    <w:rsid w:val="7FF761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5574d617-16e0-45c2-b439-04643e06dc50</errorID>
      <errorWord>。。</errorWord>
      <group>L1_Punc</group>
      <groupName>标点问题</groupName>
      <ability>L2_Punc</ability>
      <abilityName>标点符号检查</abilityName>
      <candidateList>
        <item>。</item>
      </candidateList>
      <explain/>
      <paraID>4633C100</paraID>
      <start>53</start>
      <end>54</end>
      <status>modified</status>
      <modifiedWord>。</modifiedWord>
      <trackRevisions>false</trackRevisions>
    </reviewItem>
    <reviewItem>
      <errorID>76b8a674-fce2-40e7-b60f-b043641ed8e1</errorID>
      <errorWord>(</errorWord>
      <group>L1_Format</group>
      <groupName>格式问题</groupName>
      <ability>L2_HalfPunc</ability>
      <abilityName>全半角检查</abilityName>
      <candidateList>
        <item>（</item>
      </candidateList>
      <explain>文本全半角错误。</explain>
      <paraID>53A0C61E</paraID>
      <start>41</start>
      <end>42</end>
      <status>modified</status>
      <modifiedWord>（</modifiedWord>
      <trackRevisions>false</trackRevisions>
    </reviewItem>
    <reviewItem>
      <errorID>5a3c88cd-7807-4c04-a950-43e60a0ce008</errorID>
      <errorWord>)</errorWord>
      <group>L1_Format</group>
      <groupName>格式问题</groupName>
      <ability>L2_HalfPunc</ability>
      <abilityName>全半角检查</abilityName>
      <candidateList>
        <item>）</item>
      </candidateList>
      <explain>文本全半角错误。</explain>
      <paraID>53A0C61E</paraID>
      <start>43</start>
      <end>44</end>
      <status>modified</status>
      <modifiedWord>）</modifiedWord>
      <trackRevisions>false</trackRevisions>
    </reviewItem>
    <reviewItem>
      <errorID>ff775d92-bd2a-4dad-9ecd-27d146aed7c9</errorID>
      <errorWord>。</errorWord>
      <group>L1_AI</group>
      <groupName>深度校对</groupName>
      <ability>L2_AI_Punc</ability>
      <abilityName>标点纠错</abilityName>
      <candidateList>
        <item>，</item>
      </candidateList>
      <explain/>
      <paraID>52EB03AF</paraID>
      <start>45</start>
      <end>46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09112b8a-39f3-4461-a5a4-3c9ff6699605}">
  <ds:schemaRefs/>
</ds:datastoreItem>
</file>

<file path=docProps/app.xml><?xml version="1.0" encoding="utf-8"?>
<Properties xmlns="http://schemas.openxmlformats.org/officeDocument/2006/extended-properties" xmlns:vt="http://schemas.openxmlformats.org/officeDocument/2006/docPropsVTypes">
  <Pages>5</Pages>
  <Words>2822</Words>
  <Characters>2849</Characters>
  <TotalTime>20</TotalTime>
  <ScaleCrop>false</ScaleCrop>
  <LinksUpToDate>false</LinksUpToDate>
  <CharactersWithSpaces>2905</CharactersWithSpaces>
  <Application>WPS Office_12.8.2.18205_F1E327BC-269C-435d-A152-05C5408002CA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2026-04-09T10:59:00Z</dcterms:created>
  <dc:creator>HP</dc:creator>
  <cp:lastModifiedBy>李桂华</cp:lastModifiedBy>
  <cp:lastPrinted>2026-05-14T02:48:00Z</cp:lastPrinted>
  <dcterms:modified xsi:type="dcterms:W3CDTF">2026-05-14T08:59:07Z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2026-04-09T10:59:09Z</vt:filetime>
  </property>
  <property fmtid="{D5CDD505-2E9C-101B-9397-08002B2CF9AE}" pid="4" name="UsrData">
    <vt:lpwstr>69d715f45b4fbf001f2c5313wl</vt:lpwstr>
  </property>
  <property fmtid="{D5CDD505-2E9C-101B-9397-08002B2CF9AE}" pid="5" name="KSOTemplateDocerSaveRecord">
    <vt:lpwstr>eyJoZGlkIjoiODA1MWM3NGQzODBhZGZkYzhhNjc3ZDZhODRhM2RkZDgiLCJ1c2VySWQiOiIxNjcxODcwODQwIn0=</vt:lpwstr>
  </property>
  <property fmtid="{D5CDD505-2E9C-101B-9397-08002B2CF9AE}" pid="6" name="KSOProductBuildVer">
    <vt:lpwstr>2052-12.8.2.18205</vt:lpwstr>
  </property>
  <property fmtid="{D5CDD505-2E9C-101B-9397-08002B2CF9AE}" pid="7" name="ICV">
    <vt:lpwstr>CDAA8C4CFE064D1780045218CE488A8C_13</vt:lpwstr>
  </property>
</Properties>
</file>