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588" w:lineRule="exact"/>
        <w:jc w:val="center"/>
        <w:rPr>
          <w:rFonts w:hint="eastAsia" w:ascii="方正小标宋简体" w:hAnsi="方正小标宋简体" w:eastAsia="方正小标宋简体" w:cs="方正小标宋简体"/>
          <w:color w:val="000000"/>
          <w:spacing w:val="-2"/>
          <w:sz w:val="44"/>
          <w:szCs w:val="44"/>
        </w:rPr>
      </w:pPr>
      <w:r>
        <w:rPr>
          <w:rFonts w:hint="eastAsia" w:ascii="方正小标宋简体" w:hAnsi="方正小标宋简体" w:eastAsia="方正小标宋简体" w:cs="方正小标宋简体"/>
          <w:color w:val="000000"/>
          <w:spacing w:val="-2"/>
          <w:sz w:val="44"/>
          <w:szCs w:val="44"/>
        </w:rPr>
        <w:t>2025年度行政事业单位内部控制评价和</w:t>
      </w:r>
    </w:p>
    <w:p>
      <w:pPr>
        <w:pStyle w:val="4"/>
        <w:spacing w:line="588" w:lineRule="exact"/>
        <w:jc w:val="center"/>
        <w:rPr>
          <w:rFonts w:hint="eastAsia" w:ascii="方正小标宋简体" w:hAnsi="方正小标宋简体" w:eastAsia="方正小标宋简体" w:cs="方正小标宋简体"/>
          <w:color w:val="000000"/>
          <w:spacing w:val="-2"/>
          <w:sz w:val="44"/>
          <w:szCs w:val="44"/>
        </w:rPr>
      </w:pPr>
      <w:r>
        <w:rPr>
          <w:rFonts w:hint="eastAsia" w:ascii="方正小标宋简体" w:hAnsi="方正小标宋简体" w:eastAsia="方正小标宋简体" w:cs="方正小标宋简体"/>
          <w:color w:val="000000"/>
          <w:spacing w:val="-2"/>
          <w:sz w:val="44"/>
          <w:szCs w:val="44"/>
        </w:rPr>
        <w:t>内部控制报告编报常见问题解答</w:t>
      </w:r>
    </w:p>
    <w:p>
      <w:pPr>
        <w:pStyle w:val="4"/>
        <w:spacing w:line="588" w:lineRule="exact"/>
        <w:jc w:val="center"/>
        <w:rPr>
          <w:rFonts w:hint="eastAsia" w:ascii="方正小标宋简体" w:hAnsi="方正小标宋简体" w:eastAsia="方正小标宋简体" w:cs="方正小标宋简体"/>
          <w:color w:val="000000"/>
          <w:spacing w:val="-2"/>
          <w:sz w:val="44"/>
          <w:szCs w:val="44"/>
        </w:rPr>
      </w:pPr>
      <w:r>
        <w:rPr>
          <w:rFonts w:hint="eastAsia" w:ascii="方正小标宋简体" w:hAnsi="方正小标宋简体" w:eastAsia="方正小标宋简体" w:cs="方正小标宋简体"/>
          <w:color w:val="000000"/>
          <w:spacing w:val="-2"/>
          <w:sz w:val="44"/>
          <w:szCs w:val="44"/>
        </w:rPr>
        <w:t>（第</w:t>
      </w:r>
      <w:r>
        <w:rPr>
          <w:rFonts w:hint="eastAsia" w:ascii="方正小标宋简体" w:hAnsi="方正小标宋简体" w:eastAsia="方正小标宋简体" w:cs="方正小标宋简体"/>
          <w:color w:val="000000"/>
          <w:spacing w:val="-2"/>
          <w:sz w:val="44"/>
          <w:szCs w:val="44"/>
          <w:lang w:eastAsia="zh-CN"/>
        </w:rPr>
        <w:t>三</w:t>
      </w:r>
      <w:r>
        <w:rPr>
          <w:rFonts w:hint="eastAsia" w:ascii="方正小标宋简体" w:hAnsi="方正小标宋简体" w:eastAsia="方正小标宋简体" w:cs="方正小标宋简体"/>
          <w:color w:val="000000"/>
          <w:spacing w:val="-2"/>
          <w:sz w:val="44"/>
          <w:szCs w:val="44"/>
        </w:rPr>
        <w:t>期）</w:t>
      </w:r>
    </w:p>
    <w:p>
      <w:pPr>
        <w:pStyle w:val="4"/>
        <w:spacing w:after="0" w:line="588" w:lineRule="exact"/>
        <w:ind w:firstLine="632" w:firstLineChars="200"/>
        <w:rPr>
          <w:rFonts w:hint="eastAsia" w:ascii="方正黑体_GBK" w:hAnsi="方正黑体_GBK" w:eastAsia="方正黑体_GBK" w:cs="方正黑体_GBK"/>
          <w:color w:val="000000"/>
          <w:spacing w:val="-2"/>
          <w:sz w:val="32"/>
          <w:szCs w:val="32"/>
        </w:rPr>
      </w:pPr>
    </w:p>
    <w:p>
      <w:pPr>
        <w:pStyle w:val="4"/>
        <w:keepNext w:val="0"/>
        <w:keepLines w:val="0"/>
        <w:pageBreakBefore w:val="0"/>
        <w:widowControl w:val="0"/>
        <w:kinsoku/>
        <w:wordWrap/>
        <w:overflowPunct/>
        <w:topLinePunct w:val="0"/>
        <w:bidi w:val="0"/>
        <w:snapToGrid/>
        <w:spacing w:after="0" w:line="588" w:lineRule="exact"/>
        <w:ind w:firstLine="632" w:firstLineChars="200"/>
        <w:textAlignment w:val="auto"/>
        <w:outlineLvl w:val="0"/>
        <w:rPr>
          <w:rFonts w:hint="eastAsia" w:ascii="黑体" w:hAnsi="黑体" w:eastAsia="黑体" w:cs="黑体"/>
          <w:color w:val="000000"/>
          <w:spacing w:val="-2"/>
          <w:sz w:val="32"/>
          <w:szCs w:val="32"/>
        </w:rPr>
      </w:pPr>
      <w:r>
        <w:rPr>
          <w:rFonts w:hint="eastAsia" w:ascii="黑体" w:hAnsi="黑体" w:eastAsia="黑体" w:cs="黑体"/>
          <w:color w:val="000000"/>
          <w:spacing w:val="-2"/>
          <w:sz w:val="32"/>
          <w:szCs w:val="32"/>
        </w:rPr>
        <w:t>一、内部控制评价常见问题</w:t>
      </w:r>
    </w:p>
    <w:p>
      <w:pPr>
        <w:keepNext w:val="0"/>
        <w:keepLines w:val="0"/>
        <w:pageBreakBefore w:val="0"/>
        <w:widowControl w:val="0"/>
        <w:kinsoku/>
        <w:wordWrap/>
        <w:overflowPunct/>
        <w:topLinePunct w:val="0"/>
        <w:bidi w:val="0"/>
        <w:snapToGrid/>
        <w:spacing w:after="0" w:line="588" w:lineRule="exact"/>
        <w:ind w:firstLine="634" w:firstLineChars="200"/>
        <w:textAlignment w:val="auto"/>
        <w:rPr>
          <w:rFonts w:hint="eastAsia" w:ascii="仿宋_GB2312" w:hAnsi="仿宋_GB2312" w:eastAsia="仿宋_GB2312" w:cs="仿宋_GB2312"/>
          <w:b/>
          <w:bCs/>
          <w:color w:val="000000"/>
          <w:spacing w:val="-2"/>
          <w:sz w:val="32"/>
          <w:szCs w:val="32"/>
          <w:lang w:bidi="ar"/>
        </w:rPr>
      </w:pPr>
      <w:r>
        <w:rPr>
          <w:rFonts w:hint="eastAsia" w:ascii="仿宋_GB2312" w:hAnsi="仿宋_GB2312" w:eastAsia="仿宋_GB2312" w:cs="仿宋_GB2312"/>
          <w:b/>
          <w:bCs/>
          <w:color w:val="000000"/>
          <w:spacing w:val="-2"/>
          <w:kern w:val="0"/>
          <w:sz w:val="32"/>
          <w:szCs w:val="32"/>
          <w:lang w:val="en-US" w:eastAsia="zh-CN" w:bidi="ar"/>
        </w:rPr>
        <w:t>1</w:t>
      </w:r>
      <w:r>
        <w:rPr>
          <w:rFonts w:hint="eastAsia" w:ascii="仿宋_GB2312" w:hAnsi="仿宋_GB2312" w:eastAsia="仿宋_GB2312" w:cs="仿宋_GB2312"/>
          <w:b/>
          <w:bCs/>
          <w:color w:val="000000"/>
          <w:spacing w:val="-2"/>
          <w:kern w:val="0"/>
          <w:sz w:val="32"/>
          <w:szCs w:val="32"/>
          <w:lang w:bidi="ar"/>
        </w:rPr>
        <w:t>.</w:t>
      </w:r>
      <w:r>
        <w:rPr>
          <w:rFonts w:hint="eastAsia" w:ascii="仿宋_GB2312" w:hAnsi="仿宋_GB2312" w:eastAsia="仿宋_GB2312" w:cs="仿宋_GB2312"/>
          <w:b/>
          <w:bCs/>
          <w:color w:val="000000"/>
          <w:spacing w:val="-2"/>
          <w:kern w:val="0"/>
          <w:sz w:val="32"/>
          <w:szCs w:val="32"/>
          <w:lang w:eastAsia="zh-CN" w:bidi="ar"/>
        </w:rPr>
        <w:t>目前各单位尚未开展</w:t>
      </w:r>
      <w:r>
        <w:rPr>
          <w:rFonts w:hint="eastAsia" w:ascii="仿宋_GB2312" w:hAnsi="仿宋_GB2312" w:eastAsia="仿宋_GB2312" w:cs="仿宋_GB2312"/>
          <w:b/>
          <w:bCs/>
          <w:color w:val="000000"/>
          <w:spacing w:val="-2"/>
          <w:kern w:val="0"/>
          <w:sz w:val="32"/>
          <w:szCs w:val="32"/>
          <w:lang w:val="en-US" w:eastAsia="zh-CN" w:bidi="ar"/>
        </w:rPr>
        <w:t>2025年度决算公开，如何对</w:t>
      </w:r>
      <w:r>
        <w:rPr>
          <w:rFonts w:hint="eastAsia" w:ascii="仿宋_GB2312" w:hAnsi="仿宋_GB2312" w:eastAsia="仿宋_GB2312" w:cs="仿宋_GB2312"/>
          <w:b/>
          <w:bCs/>
          <w:color w:val="000000"/>
          <w:spacing w:val="-2"/>
          <w:kern w:val="0"/>
          <w:sz w:val="32"/>
          <w:szCs w:val="32"/>
          <w:lang w:bidi="ar"/>
        </w:rPr>
        <w:t>“单位是否按照预算相关制度规定开展决算编制、审核和批复、公开等程序”</w:t>
      </w:r>
      <w:r>
        <w:rPr>
          <w:rFonts w:hint="eastAsia" w:ascii="仿宋_GB2312" w:hAnsi="仿宋_GB2312" w:eastAsia="仿宋_GB2312" w:cs="仿宋_GB2312"/>
          <w:b/>
          <w:bCs/>
          <w:color w:val="000000"/>
          <w:spacing w:val="-2"/>
          <w:kern w:val="0"/>
          <w:sz w:val="32"/>
          <w:szCs w:val="32"/>
          <w:lang w:eastAsia="zh-CN" w:bidi="ar"/>
        </w:rPr>
        <w:t>指标</w:t>
      </w:r>
      <w:r>
        <w:rPr>
          <w:rFonts w:hint="eastAsia" w:ascii="仿宋_GB2312" w:hAnsi="仿宋_GB2312" w:eastAsia="仿宋_GB2312" w:cs="仿宋_GB2312"/>
          <w:b/>
          <w:bCs/>
          <w:color w:val="000000"/>
          <w:spacing w:val="-2"/>
          <w:kern w:val="0"/>
          <w:sz w:val="32"/>
          <w:szCs w:val="32"/>
          <w:lang w:bidi="ar"/>
        </w:rPr>
        <w:t>评价打分？</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color w:val="000000"/>
          <w:spacing w:val="-2"/>
          <w:sz w:val="32"/>
          <w:szCs w:val="32"/>
          <w:lang w:val="en-US" w:eastAsia="zh-CN"/>
        </w:rPr>
      </w:pPr>
      <w:r>
        <w:rPr>
          <w:rFonts w:hint="eastAsia" w:ascii="仿宋_GB2312" w:hAnsi="仿宋_GB2312" w:eastAsia="仿宋_GB2312" w:cs="仿宋_GB2312"/>
          <w:color w:val="000000"/>
          <w:spacing w:val="-2"/>
          <w:sz w:val="32"/>
          <w:szCs w:val="32"/>
        </w:rPr>
        <w:t>答：</w:t>
      </w:r>
      <w:r>
        <w:rPr>
          <w:rFonts w:hint="eastAsia" w:ascii="仿宋_GB2312" w:hAnsi="仿宋_GB2312" w:eastAsia="仿宋_GB2312" w:cs="仿宋_GB2312"/>
          <w:color w:val="000000"/>
          <w:spacing w:val="-2"/>
          <w:sz w:val="32"/>
          <w:szCs w:val="32"/>
          <w:lang w:val="en-US" w:eastAsia="zh-CN"/>
        </w:rPr>
        <w:t>单位</w:t>
      </w:r>
      <w:r>
        <w:rPr>
          <w:rFonts w:hint="default" w:ascii="仿宋_GB2312" w:hAnsi="仿宋_GB2312" w:eastAsia="仿宋_GB2312" w:cs="仿宋_GB2312"/>
          <w:color w:val="000000"/>
          <w:spacing w:val="-2"/>
          <w:sz w:val="32"/>
          <w:szCs w:val="32"/>
          <w:lang w:eastAsia="zh-CN"/>
        </w:rPr>
        <w:t>应当</w:t>
      </w:r>
      <w:r>
        <w:rPr>
          <w:rFonts w:hint="eastAsia" w:ascii="仿宋_GB2312" w:hAnsi="仿宋_GB2312" w:eastAsia="仿宋_GB2312" w:cs="仿宋_GB2312"/>
          <w:color w:val="000000"/>
          <w:spacing w:val="-2"/>
          <w:sz w:val="32"/>
          <w:szCs w:val="32"/>
          <w:lang w:val="en-US" w:eastAsia="zh-CN"/>
        </w:rPr>
        <w:t>依</w:t>
      </w:r>
      <w:r>
        <w:rPr>
          <w:rFonts w:hint="eastAsia" w:ascii="仿宋_GB2312" w:hAnsi="仿宋_GB2312" w:eastAsia="仿宋_GB2312" w:cs="仿宋_GB2312"/>
          <w:color w:val="000000"/>
          <w:spacing w:val="-2"/>
          <w:sz w:val="32"/>
          <w:szCs w:val="32"/>
          <w:lang w:eastAsia="zh-CN"/>
        </w:rPr>
        <w:t>据</w:t>
      </w:r>
      <w:r>
        <w:rPr>
          <w:rFonts w:hint="eastAsia" w:ascii="仿宋_GB2312" w:hAnsi="仿宋_GB2312" w:eastAsia="仿宋_GB2312" w:cs="仿宋_GB2312"/>
          <w:color w:val="000000"/>
          <w:spacing w:val="-2"/>
          <w:sz w:val="32"/>
          <w:szCs w:val="32"/>
          <w:lang w:val="en-US" w:eastAsia="zh-CN"/>
        </w:rPr>
        <w:t>2025年执行的2024年度决算报送审批文件、决算公开网页截图等材料</w:t>
      </w:r>
      <w:r>
        <w:rPr>
          <w:rFonts w:hint="eastAsia" w:ascii="仿宋_GB2312" w:hAnsi="仿宋_GB2312" w:eastAsia="仿宋_GB2312" w:cs="仿宋_GB2312"/>
          <w:b w:val="0"/>
          <w:bCs w:val="0"/>
          <w:color w:val="000000"/>
          <w:spacing w:val="-2"/>
          <w:kern w:val="0"/>
          <w:sz w:val="32"/>
          <w:szCs w:val="32"/>
          <w:lang w:val="en-US" w:eastAsia="zh-CN" w:bidi="ar"/>
        </w:rPr>
        <w:t>对</w:t>
      </w:r>
      <w:r>
        <w:rPr>
          <w:rFonts w:hint="eastAsia" w:ascii="仿宋_GB2312" w:hAnsi="仿宋_GB2312" w:eastAsia="仿宋_GB2312" w:cs="仿宋_GB2312"/>
          <w:b w:val="0"/>
          <w:bCs w:val="0"/>
          <w:color w:val="000000"/>
          <w:spacing w:val="-2"/>
          <w:kern w:val="0"/>
          <w:sz w:val="32"/>
          <w:szCs w:val="32"/>
          <w:lang w:bidi="ar"/>
        </w:rPr>
        <w:t>“单位是否按照预算相关制度规定开展决算编制、审核和批复、公开等程序”</w:t>
      </w:r>
      <w:r>
        <w:rPr>
          <w:rFonts w:hint="eastAsia" w:ascii="仿宋_GB2312" w:hAnsi="仿宋_GB2312" w:eastAsia="仿宋_GB2312" w:cs="仿宋_GB2312"/>
          <w:b w:val="0"/>
          <w:bCs w:val="0"/>
          <w:color w:val="000000"/>
          <w:spacing w:val="-2"/>
          <w:kern w:val="0"/>
          <w:sz w:val="32"/>
          <w:szCs w:val="32"/>
          <w:lang w:eastAsia="zh-CN" w:bidi="ar"/>
        </w:rPr>
        <w:t>指标</w:t>
      </w:r>
      <w:r>
        <w:rPr>
          <w:rFonts w:hint="eastAsia" w:ascii="仿宋_GB2312" w:hAnsi="仿宋_GB2312" w:eastAsia="仿宋_GB2312" w:cs="仿宋_GB2312"/>
          <w:color w:val="000000"/>
          <w:spacing w:val="-2"/>
          <w:sz w:val="32"/>
          <w:szCs w:val="32"/>
          <w:lang w:val="en-US" w:eastAsia="zh-CN"/>
        </w:rPr>
        <w:t>进行评分。</w:t>
      </w:r>
    </w:p>
    <w:p>
      <w:pPr>
        <w:pStyle w:val="4"/>
        <w:keepNext w:val="0"/>
        <w:keepLines w:val="0"/>
        <w:pageBreakBefore w:val="0"/>
        <w:widowControl w:val="0"/>
        <w:kinsoku/>
        <w:wordWrap/>
        <w:overflowPunct/>
        <w:topLinePunct w:val="0"/>
        <w:autoSpaceDE w:val="0"/>
        <w:autoSpaceDN w:val="0"/>
        <w:bidi w:val="0"/>
        <w:adjustRightInd w:val="0"/>
        <w:snapToGrid/>
        <w:spacing w:after="0" w:line="588" w:lineRule="exact"/>
        <w:ind w:firstLine="634" w:firstLineChars="200"/>
        <w:textAlignment w:val="auto"/>
        <w:rPr>
          <w:sz w:val="32"/>
          <w:szCs w:val="32"/>
        </w:rPr>
      </w:pPr>
      <w:r>
        <w:rPr>
          <w:rFonts w:hint="eastAsia" w:ascii="仿宋_GB2312" w:hAnsi="仿宋_GB2312" w:eastAsia="仿宋_GB2312" w:cs="仿宋_GB2312"/>
          <w:b/>
          <w:bCs/>
          <w:color w:val="000000"/>
          <w:spacing w:val="-2"/>
          <w:sz w:val="32"/>
          <w:szCs w:val="32"/>
          <w:lang w:val="en-US" w:eastAsia="zh-CN"/>
        </w:rPr>
        <w:t>2</w:t>
      </w:r>
      <w:r>
        <w:rPr>
          <w:rFonts w:hint="eastAsia" w:ascii="仿宋_GB2312" w:hAnsi="仿宋_GB2312" w:eastAsia="仿宋_GB2312" w:cs="仿宋_GB2312"/>
          <w:b/>
          <w:bCs/>
          <w:color w:val="000000"/>
          <w:spacing w:val="-2"/>
          <w:sz w:val="32"/>
          <w:szCs w:val="32"/>
        </w:rPr>
        <w:t>.</w:t>
      </w:r>
      <w:r>
        <w:rPr>
          <w:rFonts w:hint="eastAsia" w:ascii="仿宋_GB2312" w:hAnsi="仿宋_GB2312" w:eastAsia="仿宋_GB2312" w:cs="仿宋_GB2312"/>
          <w:b/>
          <w:bCs/>
          <w:color w:val="000000"/>
          <w:spacing w:val="-2"/>
          <w:sz w:val="32"/>
          <w:szCs w:val="32"/>
          <w:lang w:eastAsia="zh-CN"/>
        </w:rPr>
        <w:t>上传佐证材料有什么具体要求</w:t>
      </w:r>
      <w:r>
        <w:rPr>
          <w:rFonts w:hint="eastAsia" w:ascii="仿宋_GB2312" w:hAnsi="仿宋_GB2312" w:eastAsia="仿宋_GB2312" w:cs="仿宋_GB2312"/>
          <w:b/>
          <w:bCs/>
          <w:color w:val="000000"/>
          <w:spacing w:val="-2"/>
          <w:sz w:val="32"/>
          <w:szCs w:val="32"/>
        </w:rPr>
        <w:t>？</w:t>
      </w:r>
    </w:p>
    <w:p>
      <w:pPr>
        <w:pStyle w:val="9"/>
        <w:keepNext w:val="0"/>
        <w:keepLines w:val="0"/>
        <w:pageBreakBefore w:val="0"/>
        <w:widowControl w:val="0"/>
        <w:shd w:val="clear" w:color="auto" w:fill="FFFFFF"/>
        <w:kinsoku/>
        <w:wordWrap/>
        <w:overflowPunct/>
        <w:topLinePunct w:val="0"/>
        <w:bidi w:val="0"/>
        <w:snapToGrid/>
        <w:spacing w:beforeAutospacing="0" w:afterAutospacing="0" w:line="588" w:lineRule="exact"/>
        <w:ind w:firstLine="632" w:firstLineChars="200"/>
        <w:jc w:val="both"/>
        <w:textAlignment w:val="auto"/>
        <w:rPr>
          <w:rFonts w:hint="default" w:ascii="仿宋_GB2312" w:hAnsi="仿宋_GB2312" w:eastAsia="仿宋_GB2312" w:cs="仿宋_GB2312"/>
          <w:b w:val="0"/>
          <w:kern w:val="2"/>
          <w:sz w:val="32"/>
          <w:szCs w:val="32"/>
          <w:lang w:eastAsia="zh-CN" w:bidi="ar-SA"/>
        </w:rPr>
      </w:pPr>
      <w:r>
        <w:rPr>
          <w:rFonts w:ascii="仿宋_GB2312" w:hAnsi="仿宋_GB2312" w:eastAsia="仿宋_GB2312" w:cs="仿宋_GB2312"/>
          <w:color w:val="000000"/>
          <w:spacing w:val="-2"/>
          <w:sz w:val="32"/>
          <w:szCs w:val="32"/>
        </w:rPr>
        <w:t>答：</w:t>
      </w:r>
      <w:r>
        <w:rPr>
          <w:rFonts w:hint="default" w:ascii="仿宋_GB2312" w:hAnsi="仿宋_GB2312" w:eastAsia="仿宋_GB2312" w:cs="仿宋_GB2312"/>
          <w:b w:val="0"/>
          <w:kern w:val="2"/>
          <w:sz w:val="32"/>
          <w:szCs w:val="32"/>
          <w:lang w:eastAsia="zh-CN" w:bidi="ar-SA"/>
        </w:rPr>
        <w:t>根据《</w:t>
      </w:r>
      <w:r>
        <w:rPr>
          <w:rFonts w:hint="eastAsia" w:ascii="仿宋_GB2312" w:hAnsi="仿宋_GB2312" w:eastAsia="仿宋_GB2312" w:cs="仿宋_GB2312"/>
          <w:sz w:val="32"/>
          <w:szCs w:val="32"/>
          <w:lang w:val="en-US" w:eastAsia="zh-CN"/>
        </w:rPr>
        <w:t>2025年度</w:t>
      </w:r>
      <w:r>
        <w:rPr>
          <w:rFonts w:hint="default" w:ascii="仿宋_GB2312" w:hAnsi="仿宋_GB2312" w:eastAsia="仿宋_GB2312" w:cs="仿宋_GB2312"/>
          <w:b w:val="0"/>
          <w:bCs w:val="0"/>
          <w:kern w:val="2"/>
          <w:sz w:val="32"/>
          <w:szCs w:val="32"/>
          <w:lang w:eastAsia="zh-CN"/>
        </w:rPr>
        <w:t>行政事业单位内部控制</w:t>
      </w:r>
      <w:bookmarkStart w:id="0" w:name="_Toc336535478"/>
      <w:bookmarkStart w:id="1" w:name="_Toc1348402831"/>
      <w:bookmarkStart w:id="2" w:name="_Toc1722737136"/>
      <w:bookmarkStart w:id="3" w:name="_Toc1950259476"/>
      <w:bookmarkStart w:id="4" w:name="_Toc1652389627"/>
      <w:bookmarkStart w:id="5" w:name="_Toc665783967"/>
      <w:bookmarkStart w:id="6" w:name="_Toc1479989191"/>
      <w:bookmarkStart w:id="7" w:name="_Toc643708135"/>
      <w:bookmarkStart w:id="8" w:name="_Toc1936447038"/>
      <w:bookmarkStart w:id="9" w:name="_Toc312033192"/>
      <w:bookmarkStart w:id="10" w:name="_Toc1445601085"/>
      <w:bookmarkStart w:id="11" w:name="_Toc576609185"/>
      <w:bookmarkStart w:id="12" w:name="_Toc296025946"/>
      <w:bookmarkStart w:id="13" w:name="_Toc666289439"/>
      <w:bookmarkStart w:id="14" w:name="_Toc1369563828"/>
      <w:bookmarkStart w:id="15" w:name="_Toc137254243"/>
      <w:bookmarkStart w:id="16" w:name="_Toc1796178553"/>
      <w:bookmarkStart w:id="17" w:name="_Toc891298704"/>
      <w:bookmarkStart w:id="18" w:name="_Toc10713"/>
      <w:bookmarkStart w:id="19" w:name="_Toc2142831799"/>
      <w:bookmarkStart w:id="20" w:name="_Toc1665240249"/>
      <w:bookmarkStart w:id="21" w:name="_Toc1565914606"/>
      <w:bookmarkStart w:id="22" w:name="_Toc1417115314"/>
      <w:bookmarkStart w:id="23" w:name="_Toc668928002"/>
      <w:bookmarkStart w:id="24" w:name="_Toc552220545"/>
      <w:bookmarkStart w:id="25" w:name="_Toc220681867"/>
      <w:bookmarkStart w:id="26" w:name="_Toc1136890342"/>
      <w:bookmarkStart w:id="27" w:name="_Toc1461561556"/>
      <w:bookmarkStart w:id="28" w:name="_Toc3885"/>
      <w:bookmarkStart w:id="29" w:name="_Toc1423980424"/>
      <w:bookmarkStart w:id="30" w:name="_Toc608473157"/>
      <w:bookmarkStart w:id="31" w:name="_Toc174026711"/>
      <w:bookmarkStart w:id="32" w:name="_Toc25394"/>
      <w:bookmarkStart w:id="33" w:name="_Toc771116423"/>
      <w:bookmarkStart w:id="34" w:name="_Toc1065320233"/>
      <w:bookmarkStart w:id="35" w:name="_Toc1910700322"/>
      <w:bookmarkStart w:id="36" w:name="_Toc731193409"/>
      <w:bookmarkStart w:id="37" w:name="_Toc250325742"/>
      <w:bookmarkStart w:id="38" w:name="_Toc2120090098"/>
      <w:bookmarkStart w:id="39" w:name="_Toc1153089286"/>
      <w:bookmarkStart w:id="40" w:name="_Toc1378090296"/>
      <w:bookmarkStart w:id="41" w:name="_Toc1989146528"/>
      <w:bookmarkStart w:id="42" w:name="_Toc247245301"/>
      <w:bookmarkStart w:id="43" w:name="_Toc1842449598"/>
      <w:bookmarkStart w:id="44" w:name="_Toc1484888749"/>
      <w:bookmarkStart w:id="45" w:name="_Toc1638940289"/>
      <w:bookmarkStart w:id="46" w:name="_Toc210550081"/>
      <w:bookmarkStart w:id="47" w:name="_Toc787205953"/>
      <w:r>
        <w:rPr>
          <w:rFonts w:hint="default" w:ascii="仿宋_GB2312" w:hAnsi="仿宋_GB2312" w:eastAsia="仿宋_GB2312" w:cs="仿宋_GB2312"/>
          <w:b w:val="0"/>
          <w:bCs w:val="0"/>
          <w:kern w:val="2"/>
          <w:sz w:val="32"/>
          <w:szCs w:val="32"/>
        </w:rPr>
        <w:t>评价和内部控制</w:t>
      </w:r>
      <w:r>
        <w:rPr>
          <w:rFonts w:hint="default" w:ascii="仿宋_GB2312" w:hAnsi="仿宋_GB2312" w:eastAsia="仿宋_GB2312" w:cs="仿宋_GB2312"/>
          <w:b w:val="0"/>
          <w:bCs w:val="0"/>
          <w:kern w:val="2"/>
          <w:sz w:val="32"/>
          <w:szCs w:val="32"/>
          <w:lang w:eastAsia="zh-CN"/>
        </w:rPr>
        <w:t>报告</w:t>
      </w:r>
      <w:bookmarkEnd w:id="0"/>
      <w:r>
        <w:rPr>
          <w:rFonts w:hint="default" w:ascii="仿宋_GB2312" w:hAnsi="仿宋_GB2312" w:eastAsia="仿宋_GB2312" w:cs="仿宋_GB2312"/>
          <w:b w:val="0"/>
          <w:bCs w:val="0"/>
          <w:kern w:val="2"/>
          <w:sz w:val="32"/>
          <w:szCs w:val="32"/>
        </w:rPr>
        <w:t>编报指南</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Fonts w:hint="default" w:ascii="仿宋_GB2312" w:hAnsi="仿宋_GB2312" w:eastAsia="仿宋_GB2312" w:cs="仿宋_GB2312"/>
          <w:b w:val="0"/>
          <w:kern w:val="2"/>
          <w:sz w:val="32"/>
          <w:szCs w:val="32"/>
          <w:lang w:eastAsia="zh-CN" w:bidi="ar-SA"/>
        </w:rPr>
        <w:t>》，对于佐证材料上传要求为“非必传”的指标，可以上传佐证材料，也可以不上传；对于佐证材料上传要求为“</w:t>
      </w:r>
      <w:r>
        <w:rPr>
          <w:rFonts w:hint="eastAsia" w:ascii="仿宋_GB2312" w:hAnsi="仿宋_GB2312" w:eastAsia="仿宋_GB2312" w:cs="仿宋_GB2312"/>
          <w:b w:val="0"/>
          <w:kern w:val="2"/>
          <w:sz w:val="32"/>
          <w:szCs w:val="32"/>
          <w:lang w:eastAsia="zh-CN" w:bidi="ar-SA"/>
        </w:rPr>
        <w:t>如为0分可不上传</w:t>
      </w:r>
      <w:r>
        <w:rPr>
          <w:rFonts w:hint="default" w:ascii="仿宋_GB2312" w:hAnsi="仿宋_GB2312" w:eastAsia="仿宋_GB2312" w:cs="仿宋_GB2312"/>
          <w:b w:val="0"/>
          <w:kern w:val="2"/>
          <w:sz w:val="32"/>
          <w:szCs w:val="32"/>
          <w:lang w:eastAsia="zh-CN" w:bidi="ar-SA"/>
        </w:rPr>
        <w:t>”的指标，若该项指标得0分，则无须上传佐证材料，否则必须上传佐证材料。</w:t>
      </w:r>
    </w:p>
    <w:p>
      <w:pPr>
        <w:pStyle w:val="9"/>
        <w:keepNext w:val="0"/>
        <w:keepLines w:val="0"/>
        <w:pageBreakBefore w:val="0"/>
        <w:widowControl w:val="0"/>
        <w:shd w:val="clear" w:color="auto" w:fill="FFFFFF"/>
        <w:kinsoku/>
        <w:wordWrap/>
        <w:overflowPunct/>
        <w:topLinePunct w:val="0"/>
        <w:bidi w:val="0"/>
        <w:snapToGrid/>
        <w:spacing w:beforeAutospacing="0" w:afterAutospacing="0" w:line="588" w:lineRule="exact"/>
        <w:ind w:firstLine="640" w:firstLineChars="200"/>
        <w:jc w:val="both"/>
        <w:textAlignment w:val="auto"/>
        <w:rPr>
          <w:rFonts w:hint="default"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eastAsia="zh-CN" w:bidi="ar-SA"/>
        </w:rPr>
        <w:t>各部门、各单位上传的佐证材料，可参考</w:t>
      </w:r>
      <w:r>
        <w:rPr>
          <w:rFonts w:hint="default" w:ascii="仿宋_GB2312" w:hAnsi="仿宋_GB2312" w:eastAsia="仿宋_GB2312" w:cs="仿宋_GB2312"/>
          <w:b w:val="0"/>
          <w:kern w:val="2"/>
          <w:sz w:val="32"/>
          <w:szCs w:val="32"/>
          <w:lang w:eastAsia="zh-CN" w:bidi="ar-SA"/>
        </w:rPr>
        <w:t>《</w:t>
      </w:r>
      <w:r>
        <w:rPr>
          <w:rFonts w:hint="eastAsia" w:ascii="仿宋_GB2312" w:hAnsi="仿宋_GB2312" w:eastAsia="仿宋_GB2312" w:cs="仿宋_GB2312"/>
          <w:sz w:val="32"/>
          <w:szCs w:val="32"/>
          <w:lang w:val="en-US" w:eastAsia="zh-CN"/>
        </w:rPr>
        <w:t>2025年度</w:t>
      </w:r>
      <w:r>
        <w:rPr>
          <w:rFonts w:hint="default" w:ascii="仿宋_GB2312" w:hAnsi="仿宋_GB2312" w:eastAsia="仿宋_GB2312" w:cs="仿宋_GB2312"/>
          <w:b w:val="0"/>
          <w:bCs w:val="0"/>
          <w:kern w:val="2"/>
          <w:sz w:val="32"/>
          <w:szCs w:val="32"/>
          <w:lang w:eastAsia="zh-CN"/>
        </w:rPr>
        <w:t>行政事业单位内部控制</w:t>
      </w:r>
      <w:r>
        <w:rPr>
          <w:rFonts w:hint="default" w:ascii="仿宋_GB2312" w:hAnsi="仿宋_GB2312" w:eastAsia="仿宋_GB2312" w:cs="仿宋_GB2312"/>
          <w:b w:val="0"/>
          <w:bCs w:val="0"/>
          <w:kern w:val="2"/>
          <w:sz w:val="32"/>
          <w:szCs w:val="32"/>
        </w:rPr>
        <w:t>评价和内部控制</w:t>
      </w:r>
      <w:r>
        <w:rPr>
          <w:rFonts w:hint="default" w:ascii="仿宋_GB2312" w:hAnsi="仿宋_GB2312" w:eastAsia="仿宋_GB2312" w:cs="仿宋_GB2312"/>
          <w:b w:val="0"/>
          <w:bCs w:val="0"/>
          <w:kern w:val="2"/>
          <w:sz w:val="32"/>
          <w:szCs w:val="32"/>
          <w:lang w:eastAsia="zh-CN"/>
        </w:rPr>
        <w:t>报告</w:t>
      </w:r>
      <w:r>
        <w:rPr>
          <w:rFonts w:hint="default" w:ascii="仿宋_GB2312" w:hAnsi="仿宋_GB2312" w:eastAsia="仿宋_GB2312" w:cs="仿宋_GB2312"/>
          <w:b w:val="0"/>
          <w:bCs w:val="0"/>
          <w:kern w:val="2"/>
          <w:sz w:val="32"/>
          <w:szCs w:val="32"/>
        </w:rPr>
        <w:t>编报指南</w:t>
      </w:r>
      <w:r>
        <w:rPr>
          <w:rFonts w:hint="default" w:ascii="仿宋_GB2312" w:hAnsi="仿宋_GB2312" w:eastAsia="仿宋_GB2312" w:cs="仿宋_GB2312"/>
          <w:b w:val="0"/>
          <w:kern w:val="2"/>
          <w:sz w:val="32"/>
          <w:szCs w:val="32"/>
          <w:lang w:eastAsia="zh-CN" w:bidi="ar-SA"/>
        </w:rPr>
        <w:t>》附件1和附件2中</w:t>
      </w:r>
      <w:r>
        <w:rPr>
          <w:rFonts w:hint="eastAsia" w:ascii="仿宋_GB2312" w:hAnsi="仿宋_GB2312" w:eastAsia="仿宋_GB2312" w:cs="仿宋_GB2312"/>
          <w:b w:val="0"/>
          <w:kern w:val="2"/>
          <w:sz w:val="32"/>
          <w:szCs w:val="32"/>
          <w:lang w:eastAsia="zh-CN" w:bidi="ar-SA"/>
        </w:rPr>
        <w:t>“</w:t>
      </w:r>
      <w:r>
        <w:rPr>
          <w:rFonts w:hint="default" w:ascii="仿宋_GB2312" w:hAnsi="仿宋_GB2312" w:eastAsia="仿宋_GB2312" w:cs="仿宋_GB2312"/>
          <w:b w:val="0"/>
          <w:bCs w:val="0"/>
          <w:color w:val="auto"/>
          <w:kern w:val="2"/>
          <w:sz w:val="32"/>
          <w:szCs w:val="32"/>
          <w:highlight w:val="none"/>
          <w:lang w:bidi="ar-SA"/>
        </w:rPr>
        <w:t>建议佐证材料清单</w:t>
      </w:r>
      <w:r>
        <w:rPr>
          <w:rFonts w:hint="eastAsia" w:ascii="仿宋_GB2312" w:hAnsi="仿宋_GB2312" w:eastAsia="仿宋_GB2312" w:cs="仿宋_GB2312"/>
          <w:b w:val="0"/>
          <w:kern w:val="2"/>
          <w:sz w:val="32"/>
          <w:szCs w:val="32"/>
          <w:lang w:eastAsia="zh-CN" w:bidi="ar-SA"/>
        </w:rPr>
        <w:t>”列示的有关材料，也可结合单位实际情况，上传能够证明单位评价得分的有关佐证材料。</w:t>
      </w:r>
    </w:p>
    <w:p>
      <w:pPr>
        <w:keepNext w:val="0"/>
        <w:keepLines w:val="0"/>
        <w:pageBreakBefore w:val="0"/>
        <w:widowControl w:val="0"/>
        <w:kinsoku/>
        <w:wordWrap/>
        <w:overflowPunct/>
        <w:topLinePunct w:val="0"/>
        <w:autoSpaceDE/>
        <w:autoSpaceDN/>
        <w:bidi w:val="0"/>
        <w:adjustRightInd/>
        <w:snapToGrid/>
        <w:spacing w:after="0" w:line="588" w:lineRule="exact"/>
        <w:ind w:firstLine="634" w:firstLineChars="200"/>
        <w:textAlignment w:val="auto"/>
        <w:rPr>
          <w:rFonts w:hint="eastAsia" w:ascii="仿宋_GB2312" w:hAnsi="仿宋_GB2312" w:eastAsia="仿宋_GB2312" w:cs="仿宋_GB2312"/>
          <w:b/>
          <w:bCs/>
          <w:color w:val="000000"/>
          <w:spacing w:val="-2"/>
          <w:kern w:val="0"/>
          <w:sz w:val="32"/>
          <w:szCs w:val="32"/>
        </w:rPr>
      </w:pPr>
      <w:r>
        <w:rPr>
          <w:rFonts w:hint="eastAsia" w:ascii="仿宋_GB2312" w:hAnsi="仿宋_GB2312" w:eastAsia="仿宋_GB2312" w:cs="仿宋_GB2312"/>
          <w:b/>
          <w:bCs/>
          <w:color w:val="000000"/>
          <w:spacing w:val="-2"/>
          <w:kern w:val="0"/>
          <w:sz w:val="32"/>
          <w:szCs w:val="32"/>
          <w:lang w:val="en-US" w:eastAsia="zh-CN"/>
        </w:rPr>
        <w:t>3.在系统中填写了评价指标的扣分原因，为何在单位内部控制评价报告及复核意见中的“三、单位内部控制评价和复核发现问题及整改情况”或</w:t>
      </w:r>
      <w:r>
        <w:rPr>
          <w:rFonts w:hint="eastAsia" w:ascii="仿宋_GB2312" w:hAnsi="仿宋_GB2312" w:eastAsia="仿宋_GB2312" w:cs="仿宋_GB2312"/>
          <w:b/>
          <w:bCs/>
          <w:color w:val="000000"/>
          <w:spacing w:val="-2"/>
          <w:kern w:val="0"/>
          <w:sz w:val="32"/>
          <w:szCs w:val="32"/>
          <w:lang w:eastAsia="zh-CN"/>
        </w:rPr>
        <w:t>部门</w:t>
      </w:r>
      <w:r>
        <w:rPr>
          <w:rFonts w:hint="eastAsia" w:ascii="仿宋_GB2312" w:hAnsi="仿宋_GB2312" w:eastAsia="仿宋_GB2312" w:cs="仿宋_GB2312"/>
          <w:b/>
          <w:bCs/>
          <w:color w:val="000000"/>
          <w:spacing w:val="-2"/>
          <w:kern w:val="0"/>
          <w:sz w:val="32"/>
          <w:szCs w:val="32"/>
          <w:lang w:val="en-US" w:eastAsia="zh-CN"/>
        </w:rPr>
        <w:t>内部控制评价报告</w:t>
      </w:r>
      <w:r>
        <w:rPr>
          <w:rFonts w:hint="eastAsia" w:ascii="仿宋_GB2312" w:hAnsi="仿宋_GB2312" w:eastAsia="仿宋_GB2312" w:cs="仿宋_GB2312"/>
          <w:b/>
          <w:bCs/>
          <w:color w:val="000000"/>
          <w:spacing w:val="-2"/>
          <w:kern w:val="0"/>
          <w:sz w:val="32"/>
          <w:szCs w:val="32"/>
          <w:lang w:eastAsia="zh-CN"/>
        </w:rPr>
        <w:t>中的</w:t>
      </w:r>
      <w:r>
        <w:rPr>
          <w:rFonts w:hint="eastAsia" w:ascii="仿宋_GB2312" w:hAnsi="仿宋_GB2312" w:eastAsia="仿宋_GB2312" w:cs="仿宋_GB2312"/>
          <w:b/>
          <w:bCs/>
          <w:color w:val="000000"/>
          <w:spacing w:val="-2"/>
          <w:kern w:val="0"/>
          <w:sz w:val="32"/>
          <w:szCs w:val="32"/>
          <w:lang w:val="en-US" w:eastAsia="zh-CN"/>
        </w:rPr>
        <w:t>“三、部门内部控制评价发现的问题及整改情况”表中无内容</w:t>
      </w:r>
      <w:r>
        <w:rPr>
          <w:rFonts w:hint="eastAsia" w:ascii="仿宋_GB2312" w:hAnsi="仿宋_GB2312" w:eastAsia="仿宋_GB2312" w:cs="仿宋_GB2312"/>
          <w:b/>
          <w:bCs/>
          <w:color w:val="000000"/>
          <w:spacing w:val="-2"/>
          <w:kern w:val="0"/>
          <w:sz w:val="32"/>
          <w:szCs w:val="32"/>
        </w:rPr>
        <w:t>？</w:t>
      </w:r>
    </w:p>
    <w:p>
      <w:pPr>
        <w:keepNext w:val="0"/>
        <w:keepLines w:val="0"/>
        <w:pageBreakBefore w:val="0"/>
        <w:widowControl w:val="0"/>
        <w:kinsoku/>
        <w:wordWrap/>
        <w:overflowPunct/>
        <w:topLinePunct w:val="0"/>
        <w:autoSpaceDE/>
        <w:autoSpaceDN/>
        <w:bidi w:val="0"/>
        <w:adjustRightInd/>
        <w:snapToGrid/>
        <w:spacing w:line="588" w:lineRule="exact"/>
        <w:ind w:firstLine="632" w:firstLineChars="200"/>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sz w:val="32"/>
          <w:szCs w:val="32"/>
        </w:rPr>
        <w:t>答：</w:t>
      </w:r>
      <w:r>
        <w:rPr>
          <w:rFonts w:hint="eastAsia" w:ascii="仿宋_GB2312" w:hAnsi="仿宋_GB2312" w:eastAsia="仿宋_GB2312" w:cs="仿宋_GB2312"/>
          <w:color w:val="000000"/>
          <w:spacing w:val="-2"/>
          <w:sz w:val="32"/>
          <w:szCs w:val="32"/>
          <w:lang w:eastAsia="zh-CN"/>
        </w:rPr>
        <w:t>对内部控制评价指标打分时，</w:t>
      </w:r>
      <w:r>
        <w:rPr>
          <w:rFonts w:hint="default" w:ascii="仿宋_GB2312" w:hAnsi="仿宋_GB2312" w:eastAsia="仿宋_GB2312" w:cs="仿宋_GB2312"/>
          <w:color w:val="000000"/>
          <w:spacing w:val="-2"/>
          <w:kern w:val="0"/>
          <w:sz w:val="32"/>
          <w:szCs w:val="32"/>
          <w:lang w:eastAsia="zh-CN"/>
        </w:rPr>
        <w:t>按照评分细则存在扣分事项</w:t>
      </w:r>
      <w:r>
        <w:rPr>
          <w:rFonts w:hint="eastAsia" w:ascii="仿宋_GB2312" w:hAnsi="仿宋_GB2312" w:eastAsia="仿宋_GB2312" w:cs="仿宋_GB2312"/>
          <w:color w:val="000000"/>
          <w:spacing w:val="-2"/>
          <w:kern w:val="0"/>
          <w:sz w:val="32"/>
          <w:szCs w:val="32"/>
          <w:lang w:eastAsia="zh-CN"/>
        </w:rPr>
        <w:t>的</w:t>
      </w:r>
      <w:r>
        <w:rPr>
          <w:rFonts w:hint="default" w:ascii="仿宋_GB2312" w:hAnsi="仿宋_GB2312" w:eastAsia="仿宋_GB2312" w:cs="仿宋_GB2312"/>
          <w:color w:val="000000"/>
          <w:spacing w:val="-2"/>
          <w:kern w:val="0"/>
          <w:sz w:val="32"/>
          <w:szCs w:val="32"/>
          <w:lang w:eastAsia="zh-CN"/>
        </w:rPr>
        <w:t>，须填写具体扣分原</w:t>
      </w:r>
      <w:r>
        <w:rPr>
          <w:rFonts w:hint="eastAsia" w:ascii="仿宋_GB2312" w:hAnsi="仿宋_GB2312" w:eastAsia="仿宋_GB2312" w:cs="仿宋_GB2312"/>
          <w:color w:val="000000"/>
          <w:spacing w:val="-2"/>
          <w:kern w:val="0"/>
          <w:sz w:val="32"/>
          <w:szCs w:val="32"/>
          <w:lang w:eastAsia="zh-CN"/>
        </w:rPr>
        <w:t>因</w:t>
      </w:r>
      <w:r>
        <w:rPr>
          <w:rFonts w:hint="default" w:ascii="仿宋_GB2312" w:hAnsi="仿宋_GB2312" w:eastAsia="仿宋_GB2312" w:cs="仿宋_GB2312"/>
          <w:color w:val="000000"/>
          <w:spacing w:val="-2"/>
          <w:kern w:val="0"/>
          <w:sz w:val="32"/>
          <w:szCs w:val="32"/>
          <w:lang w:eastAsia="zh-CN"/>
        </w:rPr>
        <w:t>；若扣分原因确认为内部控制存在的问题，</w:t>
      </w:r>
      <w:r>
        <w:rPr>
          <w:rFonts w:hint="eastAsia" w:ascii="仿宋_GB2312" w:hAnsi="仿宋_GB2312" w:eastAsia="仿宋_GB2312" w:cs="仿宋_GB2312"/>
          <w:color w:val="000000"/>
          <w:spacing w:val="-2"/>
          <w:kern w:val="0"/>
          <w:sz w:val="32"/>
          <w:szCs w:val="32"/>
          <w:lang w:eastAsia="zh-CN"/>
        </w:rPr>
        <w:t>还应当</w:t>
      </w:r>
      <w:r>
        <w:rPr>
          <w:rFonts w:hint="default" w:ascii="仿宋_GB2312" w:hAnsi="仿宋_GB2312" w:eastAsia="仿宋_GB2312" w:cs="仿宋_GB2312"/>
          <w:color w:val="000000"/>
          <w:spacing w:val="-2"/>
          <w:kern w:val="0"/>
          <w:sz w:val="32"/>
          <w:szCs w:val="32"/>
          <w:lang w:eastAsia="zh-CN"/>
        </w:rPr>
        <w:t>录入内部</w:t>
      </w:r>
      <w:bookmarkStart w:id="48" w:name="_GoBack"/>
      <w:bookmarkEnd w:id="48"/>
      <w:r>
        <w:rPr>
          <w:rFonts w:hint="default" w:ascii="仿宋_GB2312" w:hAnsi="仿宋_GB2312" w:eastAsia="仿宋_GB2312" w:cs="仿宋_GB2312"/>
          <w:color w:val="000000"/>
          <w:spacing w:val="-2"/>
          <w:kern w:val="0"/>
          <w:sz w:val="32"/>
          <w:szCs w:val="32"/>
          <w:lang w:eastAsia="zh-CN"/>
        </w:rPr>
        <w:t>控制评价发现的存在问题</w:t>
      </w:r>
      <w:r>
        <w:rPr>
          <w:rFonts w:hint="eastAsia" w:ascii="仿宋_GB2312" w:hAnsi="仿宋_GB2312" w:eastAsia="仿宋_GB2312" w:cs="仿宋_GB2312"/>
          <w:color w:val="000000"/>
          <w:spacing w:val="-2"/>
          <w:kern w:val="0"/>
          <w:sz w:val="32"/>
          <w:szCs w:val="32"/>
          <w:lang w:eastAsia="zh-CN"/>
        </w:rPr>
        <w:t>及整改措施等</w:t>
      </w:r>
      <w:r>
        <w:rPr>
          <w:rFonts w:hint="default" w:ascii="仿宋_GB2312" w:hAnsi="仿宋_GB2312" w:eastAsia="仿宋_GB2312" w:cs="仿宋_GB2312"/>
          <w:color w:val="000000"/>
          <w:spacing w:val="-2"/>
          <w:kern w:val="0"/>
          <w:sz w:val="32"/>
          <w:szCs w:val="32"/>
          <w:lang w:eastAsia="zh-CN"/>
        </w:rPr>
        <w:t>相关内容。</w:t>
      </w:r>
      <w:r>
        <w:rPr>
          <w:rFonts w:hint="eastAsia" w:ascii="仿宋_GB2312" w:hAnsi="仿宋_GB2312" w:eastAsia="仿宋_GB2312" w:cs="仿宋_GB2312"/>
          <w:color w:val="000000"/>
          <w:spacing w:val="-2"/>
          <w:sz w:val="32"/>
          <w:szCs w:val="32"/>
          <w:lang w:eastAsia="zh-CN"/>
        </w:rPr>
        <w:t>在</w:t>
      </w:r>
      <w:r>
        <w:rPr>
          <w:rFonts w:hint="eastAsia" w:ascii="仿宋_GB2312" w:hAnsi="仿宋_GB2312" w:eastAsia="仿宋_GB2312" w:cs="仿宋_GB2312"/>
          <w:color w:val="000000"/>
          <w:spacing w:val="-2"/>
          <w:kern w:val="0"/>
          <w:sz w:val="32"/>
          <w:szCs w:val="32"/>
        </w:rPr>
        <w:t>评价报告</w:t>
      </w:r>
      <w:r>
        <w:rPr>
          <w:rFonts w:hint="eastAsia" w:ascii="仿宋_GB2312" w:hAnsi="仿宋_GB2312" w:eastAsia="仿宋_GB2312" w:cs="仿宋_GB2312"/>
          <w:color w:val="000000"/>
          <w:spacing w:val="-2"/>
          <w:kern w:val="0"/>
          <w:sz w:val="32"/>
          <w:szCs w:val="32"/>
          <w:lang w:val="en-US" w:eastAsia="zh-CN"/>
        </w:rPr>
        <w:t>中，</w:t>
      </w:r>
      <w:r>
        <w:rPr>
          <w:rFonts w:hint="eastAsia" w:ascii="仿宋_GB2312" w:hAnsi="仿宋_GB2312" w:eastAsia="仿宋_GB2312" w:cs="仿宋_GB2312"/>
          <w:color w:val="000000"/>
          <w:spacing w:val="-2"/>
          <w:kern w:val="0"/>
          <w:sz w:val="32"/>
          <w:szCs w:val="32"/>
        </w:rPr>
        <w:t>仅</w:t>
      </w:r>
      <w:r>
        <w:rPr>
          <w:rFonts w:hint="eastAsia" w:ascii="仿宋_GB2312" w:hAnsi="仿宋_GB2312" w:eastAsia="仿宋_GB2312" w:cs="仿宋_GB2312"/>
          <w:color w:val="000000"/>
          <w:spacing w:val="-2"/>
          <w:kern w:val="0"/>
          <w:sz w:val="32"/>
          <w:szCs w:val="32"/>
          <w:lang w:eastAsia="zh-CN"/>
        </w:rPr>
        <w:t>展示</w:t>
      </w:r>
      <w:r>
        <w:rPr>
          <w:rFonts w:hint="eastAsia" w:ascii="仿宋_GB2312" w:hAnsi="仿宋_GB2312" w:eastAsia="仿宋_GB2312" w:cs="仿宋_GB2312"/>
          <w:color w:val="000000"/>
          <w:spacing w:val="-2"/>
          <w:kern w:val="0"/>
          <w:sz w:val="32"/>
          <w:szCs w:val="32"/>
          <w:lang w:val="en-US" w:eastAsia="zh-CN"/>
        </w:rPr>
        <w:t>单位或部门评价时发现的存在</w:t>
      </w:r>
      <w:r>
        <w:rPr>
          <w:rFonts w:hint="eastAsia" w:ascii="仿宋_GB2312" w:hAnsi="仿宋_GB2312" w:eastAsia="仿宋_GB2312" w:cs="仿宋_GB2312"/>
          <w:color w:val="000000"/>
          <w:spacing w:val="-2"/>
          <w:kern w:val="0"/>
          <w:sz w:val="32"/>
          <w:szCs w:val="32"/>
        </w:rPr>
        <w:t>问题</w:t>
      </w:r>
      <w:r>
        <w:rPr>
          <w:rFonts w:hint="eastAsia" w:ascii="仿宋_GB2312" w:hAnsi="仿宋_GB2312" w:eastAsia="仿宋_GB2312" w:cs="仿宋_GB2312"/>
          <w:color w:val="000000"/>
          <w:spacing w:val="-2"/>
          <w:kern w:val="0"/>
          <w:sz w:val="32"/>
          <w:szCs w:val="32"/>
          <w:lang w:eastAsia="zh-CN"/>
        </w:rPr>
        <w:t>，</w:t>
      </w:r>
      <w:r>
        <w:rPr>
          <w:rFonts w:hint="eastAsia" w:ascii="仿宋_GB2312" w:hAnsi="仿宋_GB2312" w:eastAsia="仿宋_GB2312" w:cs="仿宋_GB2312"/>
          <w:color w:val="000000"/>
          <w:spacing w:val="-2"/>
          <w:kern w:val="0"/>
          <w:sz w:val="32"/>
          <w:szCs w:val="32"/>
          <w:lang w:val="en-US" w:eastAsia="zh-CN"/>
        </w:rPr>
        <w:t>不展示指标扣分原因。如果只填写了指标扣分原因，没有填写评价发现的存在问题，则“内部控制评价发现问题及整改情况”表中以“—”展示。详见图1。</w:t>
      </w:r>
    </w:p>
    <w:p>
      <w:pPr>
        <w:keepNext w:val="0"/>
        <w:keepLines w:val="0"/>
        <w:pageBreakBefore w:val="0"/>
        <w:widowControl w:val="0"/>
        <w:kinsoku/>
        <w:wordWrap/>
        <w:overflowPunct/>
        <w:topLinePunct w:val="0"/>
        <w:autoSpaceDE/>
        <w:autoSpaceDN/>
        <w:bidi w:val="0"/>
        <w:adjustRightInd/>
        <w:snapToGrid/>
        <w:spacing w:line="279" w:lineRule="auto"/>
        <w:textAlignment w:val="auto"/>
        <w:rPr>
          <w:rFonts w:hint="eastAsia" w:ascii="仿宋_GB2312" w:hAnsi="仿宋_GB2312" w:eastAsia="仿宋_GB2312" w:cs="仿宋_GB2312"/>
          <w:color w:val="000000"/>
          <w:spacing w:val="-2"/>
          <w:kern w:val="0"/>
          <w:sz w:val="32"/>
          <w:szCs w:val="32"/>
          <w:lang w:val="en-US" w:eastAsia="zh-CN"/>
        </w:rPr>
      </w:pPr>
      <w:r>
        <w:drawing>
          <wp:inline distT="0" distB="0" distL="114300" distR="114300">
            <wp:extent cx="5266055" cy="1245235"/>
            <wp:effectExtent l="0" t="0" r="10795" b="1206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7"/>
                    <a:stretch>
                      <a:fillRect/>
                    </a:stretch>
                  </pic:blipFill>
                  <pic:spPr>
                    <a:xfrm>
                      <a:off x="0" y="0"/>
                      <a:ext cx="5266055" cy="1245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jc w:val="center"/>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val="en-US" w:eastAsia="zh-CN"/>
        </w:rPr>
        <w:t>图1：仅有扣分原因无评价发现问题示例</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val="en-US" w:eastAsia="zh-CN"/>
        </w:rPr>
        <w:t>在复核意见中，也仅展示复核发现的存在问题，不展示复核调整分数原因。如果仅填写复核调整分数原因，未填写复核发现的存在问题，则在“内部控制评价复核发现问题及整改情况”表中以“—”展示。</w:t>
      </w:r>
    </w:p>
    <w:p>
      <w:pPr>
        <w:spacing w:after="0" w:line="588" w:lineRule="exact"/>
        <w:ind w:firstLine="642" w:firstLineChars="200"/>
        <w:rPr>
          <w:rFonts w:ascii="仿宋_GB2312" w:eastAsia="仿宋_GB2312"/>
          <w:b/>
          <w:bCs/>
          <w:sz w:val="32"/>
          <w:szCs w:val="32"/>
          <w:highlight w:val="none"/>
        </w:rPr>
      </w:pPr>
      <w:r>
        <w:rPr>
          <w:rFonts w:hint="eastAsia" w:ascii="仿宋_GB2312" w:eastAsia="仿宋_GB2312"/>
          <w:b/>
          <w:bCs/>
          <w:sz w:val="32"/>
          <w:szCs w:val="32"/>
          <w:lang w:val="en-US" w:eastAsia="zh-CN"/>
        </w:rPr>
        <w:t>4</w:t>
      </w:r>
      <w:r>
        <w:rPr>
          <w:rFonts w:hint="eastAsia" w:ascii="仿宋_GB2312" w:eastAsia="仿宋_GB2312"/>
          <w:b/>
          <w:bCs/>
          <w:sz w:val="32"/>
          <w:szCs w:val="32"/>
        </w:rPr>
        <w:t>.</w:t>
      </w:r>
      <w:r>
        <w:rPr>
          <w:rFonts w:hint="eastAsia" w:ascii="仿宋_GB2312" w:eastAsia="仿宋_GB2312"/>
          <w:b/>
          <w:bCs/>
          <w:sz w:val="32"/>
          <w:szCs w:val="32"/>
          <w:highlight w:val="none"/>
        </w:rPr>
        <w:t>部门</w:t>
      </w:r>
      <w:r>
        <w:rPr>
          <w:rFonts w:hint="default" w:ascii="仿宋_GB2312" w:eastAsia="仿宋_GB2312"/>
          <w:b/>
          <w:bCs/>
          <w:sz w:val="32"/>
          <w:szCs w:val="32"/>
          <w:highlight w:val="none"/>
        </w:rPr>
        <w:t>复核时，</w:t>
      </w:r>
      <w:r>
        <w:rPr>
          <w:rFonts w:hint="eastAsia" w:ascii="仿宋_GB2312" w:eastAsia="仿宋_GB2312"/>
          <w:b/>
          <w:bCs/>
          <w:sz w:val="32"/>
          <w:szCs w:val="32"/>
          <w:highlight w:val="none"/>
          <w:lang w:eastAsia="zh-CN"/>
        </w:rPr>
        <w:t>怎样</w:t>
      </w:r>
      <w:r>
        <w:rPr>
          <w:rFonts w:hint="default" w:ascii="仿宋_GB2312" w:eastAsia="仿宋_GB2312"/>
          <w:b/>
          <w:bCs/>
          <w:sz w:val="32"/>
          <w:szCs w:val="32"/>
          <w:highlight w:val="none"/>
          <w:lang w:eastAsia="zh-CN"/>
        </w:rPr>
        <w:t>调整</w:t>
      </w:r>
      <w:r>
        <w:rPr>
          <w:rFonts w:hint="eastAsia" w:ascii="仿宋_GB2312" w:eastAsia="仿宋_GB2312"/>
          <w:b/>
          <w:bCs/>
          <w:sz w:val="32"/>
          <w:szCs w:val="32"/>
          <w:highlight w:val="none"/>
          <w:lang w:eastAsia="zh-CN"/>
        </w:rPr>
        <w:t>所属单位内部控制评价</w:t>
      </w:r>
      <w:r>
        <w:rPr>
          <w:rFonts w:hint="default" w:ascii="仿宋_GB2312" w:eastAsia="仿宋_GB2312"/>
          <w:b/>
          <w:bCs/>
          <w:sz w:val="32"/>
          <w:szCs w:val="32"/>
          <w:highlight w:val="none"/>
          <w:lang w:eastAsia="zh-CN"/>
        </w:rPr>
        <w:t>得分</w:t>
      </w:r>
      <w:r>
        <w:rPr>
          <w:rFonts w:hint="eastAsia" w:ascii="仿宋_GB2312" w:eastAsia="仿宋_GB2312"/>
          <w:b/>
          <w:bCs/>
          <w:sz w:val="32"/>
          <w:szCs w:val="32"/>
          <w:highlight w:val="none"/>
          <w:lang w:eastAsia="zh-CN"/>
        </w:rPr>
        <w:t>？</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40" w:firstLineChars="200"/>
        <w:textAlignment w:val="auto"/>
        <w:rPr>
          <w:rFonts w:hint="eastAsia" w:ascii="仿宋_GB2312" w:hAnsi="仿宋_GB2312" w:eastAsia="仿宋_GB2312" w:cs="仿宋_GB2312"/>
          <w:kern w:val="2"/>
          <w:sz w:val="32"/>
          <w:szCs w:val="32"/>
          <w:lang w:val="en-US" w:eastAsia="zh" w:bidi="ar-SA"/>
        </w:rPr>
      </w:pPr>
      <w:r>
        <w:rPr>
          <w:rFonts w:hint="eastAsia" w:ascii="仿宋_GB2312" w:hAnsi="仿宋_GB2312" w:eastAsia="仿宋_GB2312" w:cs="仿宋_GB2312"/>
          <w:sz w:val="32"/>
          <w:szCs w:val="32"/>
          <w:highlight w:val="none"/>
        </w:rPr>
        <w:t>答：</w:t>
      </w:r>
      <w:r>
        <w:rPr>
          <w:rFonts w:hint="eastAsia" w:ascii="仿宋_GB2312" w:hAnsi="仿宋_GB2312" w:eastAsia="仿宋_GB2312" w:cs="仿宋_GB2312"/>
          <w:sz w:val="32"/>
          <w:szCs w:val="32"/>
          <w:highlight w:val="none"/>
          <w:lang w:eastAsia="zh-CN"/>
        </w:rPr>
        <w:t>部门复核</w:t>
      </w:r>
      <w:r>
        <w:rPr>
          <w:rFonts w:hint="eastAsia" w:ascii="仿宋_GB2312" w:hAnsi="仿宋_GB2312" w:eastAsia="仿宋_GB2312" w:cs="仿宋_GB2312"/>
          <w:kern w:val="2"/>
          <w:sz w:val="32"/>
          <w:szCs w:val="32"/>
          <w:highlight w:val="none"/>
          <w:lang w:val="en-US" w:eastAsia="zh" w:bidi="ar-SA"/>
        </w:rPr>
        <w:t>所属</w:t>
      </w:r>
      <w:r>
        <w:rPr>
          <w:rFonts w:hint="default" w:ascii="仿宋_GB2312" w:hAnsi="仿宋_GB2312" w:eastAsia="仿宋_GB2312" w:cs="仿宋_GB2312"/>
          <w:kern w:val="2"/>
          <w:sz w:val="32"/>
          <w:szCs w:val="32"/>
          <w:highlight w:val="none"/>
          <w:lang w:eastAsia="zh" w:bidi="ar-SA"/>
        </w:rPr>
        <w:t>基层</w:t>
      </w:r>
      <w:r>
        <w:rPr>
          <w:rFonts w:hint="eastAsia" w:ascii="仿宋_GB2312" w:hAnsi="仿宋_GB2312" w:eastAsia="仿宋_GB2312" w:cs="仿宋_GB2312"/>
          <w:kern w:val="2"/>
          <w:sz w:val="32"/>
          <w:szCs w:val="32"/>
          <w:highlight w:val="none"/>
          <w:lang w:val="en-US" w:eastAsia="zh" w:bidi="ar-SA"/>
        </w:rPr>
        <w:t>单位报送的内部控制评价报告</w:t>
      </w:r>
      <w:r>
        <w:rPr>
          <w:rFonts w:hint="eastAsia" w:ascii="仿宋_GB2312" w:hAnsi="仿宋_GB2312" w:eastAsia="仿宋_GB2312" w:cs="仿宋_GB2312"/>
          <w:kern w:val="2"/>
          <w:sz w:val="32"/>
          <w:szCs w:val="32"/>
          <w:highlight w:val="none"/>
          <w:lang w:val="en-US" w:eastAsia="zh-CN" w:bidi="ar-SA"/>
        </w:rPr>
        <w:t>时，</w:t>
      </w:r>
      <w:r>
        <w:rPr>
          <w:rFonts w:hint="eastAsia" w:ascii="仿宋_GB2312" w:hAnsi="仿宋_GB2312" w:eastAsia="仿宋_GB2312" w:cs="仿宋_GB2312"/>
          <w:kern w:val="2"/>
          <w:sz w:val="32"/>
          <w:szCs w:val="32"/>
          <w:lang w:val="en-US" w:eastAsia="zh" w:bidi="ar-SA"/>
        </w:rPr>
        <w:t>默认评价指标复核得分与单位评价得分一致</w:t>
      </w:r>
      <w:r>
        <w:rPr>
          <w:rFonts w:hint="eastAsia" w:ascii="仿宋_GB2312" w:hAnsi="仿宋_GB2312" w:eastAsia="仿宋_GB2312" w:cs="仿宋_GB2312"/>
          <w:kern w:val="2"/>
          <w:sz w:val="32"/>
          <w:szCs w:val="32"/>
          <w:lang w:val="en-US" w:eastAsia="zh-CN" w:bidi="ar-SA"/>
        </w:rPr>
        <w:t>。若部门认为所属</w:t>
      </w:r>
      <w:r>
        <w:rPr>
          <w:rFonts w:hint="default" w:ascii="仿宋_GB2312" w:hAnsi="仿宋_GB2312" w:eastAsia="仿宋_GB2312" w:cs="仿宋_GB2312"/>
          <w:kern w:val="2"/>
          <w:sz w:val="32"/>
          <w:szCs w:val="32"/>
          <w:highlight w:val="none"/>
          <w:lang w:eastAsia="zh" w:bidi="ar-SA"/>
        </w:rPr>
        <w:t>基层</w:t>
      </w:r>
      <w:r>
        <w:rPr>
          <w:rFonts w:hint="eastAsia" w:ascii="仿宋_GB2312" w:hAnsi="仿宋_GB2312" w:eastAsia="仿宋_GB2312" w:cs="仿宋_GB2312"/>
          <w:kern w:val="2"/>
          <w:sz w:val="32"/>
          <w:szCs w:val="32"/>
          <w:lang w:val="en-US" w:eastAsia="zh-CN" w:bidi="ar-SA"/>
        </w:rPr>
        <w:t>单位评价得分不存在偏差，则无需调整单位评价得分；若部门</w:t>
      </w:r>
      <w:r>
        <w:rPr>
          <w:rFonts w:hint="eastAsia" w:ascii="仿宋_GB2312" w:hAnsi="仿宋_GB2312" w:eastAsia="仿宋_GB2312" w:cs="仿宋_GB2312"/>
          <w:kern w:val="2"/>
          <w:sz w:val="32"/>
          <w:szCs w:val="32"/>
          <w:lang w:val="en-US" w:eastAsia="zh" w:bidi="ar-SA"/>
        </w:rPr>
        <w:t>复核发现所属</w:t>
      </w:r>
      <w:r>
        <w:rPr>
          <w:rFonts w:hint="default" w:ascii="仿宋_GB2312" w:hAnsi="仿宋_GB2312" w:eastAsia="仿宋_GB2312" w:cs="仿宋_GB2312"/>
          <w:kern w:val="2"/>
          <w:sz w:val="32"/>
          <w:szCs w:val="32"/>
          <w:highlight w:val="none"/>
          <w:lang w:eastAsia="zh" w:bidi="ar-SA"/>
        </w:rPr>
        <w:t>基层</w:t>
      </w:r>
      <w:r>
        <w:rPr>
          <w:rFonts w:hint="eastAsia" w:ascii="仿宋_GB2312" w:hAnsi="仿宋_GB2312" w:eastAsia="仿宋_GB2312" w:cs="仿宋_GB2312"/>
          <w:kern w:val="2"/>
          <w:sz w:val="32"/>
          <w:szCs w:val="32"/>
          <w:lang w:val="en-US" w:eastAsia="zh" w:bidi="ar-SA"/>
        </w:rPr>
        <w:t>单位内部控制评价得分存在偏差的，</w:t>
      </w:r>
      <w:r>
        <w:rPr>
          <w:rFonts w:hint="eastAsia" w:ascii="仿宋_GB2312" w:hAnsi="仿宋_GB2312" w:eastAsia="仿宋_GB2312" w:cs="仿宋_GB2312"/>
          <w:kern w:val="2"/>
          <w:sz w:val="32"/>
          <w:szCs w:val="32"/>
          <w:lang w:val="en-US" w:eastAsia="zh-CN" w:bidi="ar-SA"/>
        </w:rPr>
        <w:t>应当调整内部控制评价得分，录入复核调整分数原因，并明确最终评价结果档次。若确</w:t>
      </w:r>
      <w:r>
        <w:rPr>
          <w:rFonts w:hint="eastAsia" w:ascii="仿宋_GB2312" w:hAnsi="仿宋_GB2312" w:eastAsia="仿宋_GB2312" w:cs="仿宋_GB2312"/>
          <w:kern w:val="2"/>
          <w:sz w:val="32"/>
          <w:szCs w:val="32"/>
          <w:lang w:val="en-US" w:eastAsia="zh" w:bidi="ar-SA"/>
        </w:rPr>
        <w:t>定为存在问题的，还应当录入复核发现问题及认定依据等信息。</w:t>
      </w:r>
    </w:p>
    <w:p>
      <w:pPr>
        <w:pStyle w:val="5"/>
        <w:spacing w:after="0" w:line="588" w:lineRule="exact"/>
        <w:ind w:firstLine="640" w:firstLineChars="200"/>
        <w:rPr>
          <w:rFonts w:hint="eastAsia" w:ascii="仿宋_GB2312" w:hAnsi="仿宋_GB2312" w:eastAsia="仿宋_GB2312" w:cs="仿宋_GB2312"/>
          <w:i w:val="0"/>
          <w:iCs w:val="0"/>
          <w:color w:val="FF0000"/>
          <w:spacing w:val="-2"/>
          <w:sz w:val="32"/>
          <w:szCs w:val="32"/>
          <w:lang w:val="en-US" w:eastAsia="zh-CN" w:bidi="ar"/>
        </w:rPr>
      </w:pPr>
      <w:r>
        <w:rPr>
          <w:rFonts w:hint="eastAsia" w:ascii="仿宋_GB2312" w:hAnsi="仿宋_GB2312" w:eastAsia="仿宋_GB2312" w:cs="仿宋_GB2312"/>
          <w:kern w:val="2"/>
          <w:sz w:val="32"/>
          <w:szCs w:val="32"/>
          <w:lang w:val="en-US" w:eastAsia="zh-CN" w:bidi="ar-SA"/>
        </w:rPr>
        <w:t>部门复核所属汇总单位内部控制评价报告时，对于</w:t>
      </w:r>
      <w:r>
        <w:rPr>
          <w:rFonts w:hint="eastAsia" w:ascii="仿宋_GB2312" w:hAnsi="仿宋_GB2312" w:eastAsia="仿宋_GB2312" w:cs="仿宋_GB2312"/>
          <w:kern w:val="2"/>
          <w:sz w:val="32"/>
          <w:szCs w:val="32"/>
          <w:lang w:val="en-US" w:eastAsia="zh" w:bidi="ar-SA"/>
        </w:rPr>
        <w:t>系统自动计算生成得分的评价指标，复核不能调整评价得分，可录入计算指标的复核发现问题</w:t>
      </w:r>
      <w:r>
        <w:rPr>
          <w:rFonts w:hint="eastAsia" w:ascii="仿宋_GB2312" w:hAnsi="仿宋_GB2312" w:eastAsia="仿宋_GB2312" w:cs="仿宋_GB2312"/>
          <w:kern w:val="2"/>
          <w:sz w:val="32"/>
          <w:szCs w:val="32"/>
          <w:lang w:val="en-US" w:eastAsia="zh-CN" w:bidi="ar-SA"/>
        </w:rPr>
        <w:t>；对于非系统自动计算得分的评价指标，可以调整评价得分。</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42" w:firstLineChars="200"/>
        <w:textAlignment w:val="auto"/>
        <w:rPr>
          <w:rFonts w:ascii="仿宋_GB2312" w:eastAsia="仿宋_GB2312"/>
          <w:b/>
          <w:bCs/>
          <w:sz w:val="32"/>
          <w:szCs w:val="32"/>
          <w:highlight w:val="yellow"/>
        </w:rPr>
      </w:pPr>
      <w:r>
        <w:rPr>
          <w:rFonts w:hint="eastAsia" w:ascii="仿宋_GB2312" w:eastAsia="仿宋_GB2312"/>
          <w:b/>
          <w:bCs/>
          <w:sz w:val="32"/>
          <w:szCs w:val="32"/>
          <w:lang w:val="en-US" w:eastAsia="zh-CN"/>
        </w:rPr>
        <w:t>5</w:t>
      </w:r>
      <w:r>
        <w:rPr>
          <w:rFonts w:hint="eastAsia" w:ascii="仿宋_GB2312" w:eastAsia="仿宋_GB2312"/>
          <w:b/>
          <w:bCs/>
          <w:sz w:val="32"/>
          <w:szCs w:val="32"/>
        </w:rPr>
        <w:t>.部门评价</w:t>
      </w:r>
      <w:r>
        <w:rPr>
          <w:rFonts w:hint="eastAsia" w:ascii="仿宋_GB2312" w:eastAsia="仿宋_GB2312"/>
          <w:b/>
          <w:bCs/>
          <w:sz w:val="32"/>
          <w:szCs w:val="32"/>
          <w:lang w:eastAsia="zh-CN"/>
        </w:rPr>
        <w:t>指标</w:t>
      </w:r>
      <w:r>
        <w:rPr>
          <w:rFonts w:hint="eastAsia" w:ascii="仿宋_GB2312" w:eastAsia="仿宋_GB2312"/>
          <w:b/>
          <w:bCs/>
          <w:sz w:val="32"/>
          <w:szCs w:val="32"/>
        </w:rPr>
        <w:t>第一部分</w:t>
      </w:r>
      <w:r>
        <w:rPr>
          <w:rFonts w:hint="eastAsia" w:ascii="仿宋_GB2312" w:eastAsia="仿宋_GB2312"/>
          <w:b/>
          <w:bCs/>
          <w:sz w:val="32"/>
          <w:szCs w:val="32"/>
          <w:lang w:eastAsia="zh-CN"/>
        </w:rPr>
        <w:t>“部门本级及所属单位内部控制体系建立</w:t>
      </w:r>
      <w:r>
        <w:rPr>
          <w:rFonts w:hint="eastAsia" w:ascii="仿宋_GB2312" w:eastAsia="仿宋_GB2312"/>
          <w:b/>
          <w:bCs/>
          <w:sz w:val="32"/>
          <w:szCs w:val="32"/>
          <w:lang w:val="en-US" w:eastAsia="zh-CN"/>
        </w:rPr>
        <w:t>与实施情况</w:t>
      </w:r>
      <w:r>
        <w:rPr>
          <w:rFonts w:hint="eastAsia" w:ascii="仿宋_GB2312" w:eastAsia="仿宋_GB2312"/>
          <w:b/>
          <w:bCs/>
          <w:sz w:val="32"/>
          <w:szCs w:val="32"/>
          <w:lang w:eastAsia="zh-CN"/>
        </w:rPr>
        <w:t>”各项指标</w:t>
      </w:r>
      <w:r>
        <w:rPr>
          <w:rFonts w:hint="eastAsia" w:ascii="仿宋_GB2312" w:eastAsia="仿宋_GB2312"/>
          <w:b/>
          <w:bCs/>
          <w:sz w:val="32"/>
          <w:szCs w:val="32"/>
        </w:rPr>
        <w:t>分数是</w:t>
      </w:r>
      <w:r>
        <w:rPr>
          <w:rFonts w:hint="eastAsia" w:ascii="仿宋_GB2312" w:eastAsia="仿宋_GB2312"/>
          <w:b/>
          <w:bCs/>
          <w:sz w:val="32"/>
          <w:szCs w:val="32"/>
          <w:lang w:eastAsia="zh-CN"/>
        </w:rPr>
        <w:t>如何计算的？</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8" w:lineRule="exact"/>
        <w:ind w:left="0" w:right="0" w:firstLine="640" w:firstLineChars="200"/>
        <w:rPr>
          <w:rFonts w:hint="eastAsia" w:ascii="仿宋_GB2312" w:hAnsi="仿宋_GB2312" w:eastAsia="仿宋_GB2312" w:cs="仿宋_GB2312"/>
          <w:color w:val="000000"/>
          <w:spacing w:val="-2"/>
          <w:kern w:val="0"/>
          <w:sz w:val="32"/>
          <w:szCs w:val="32"/>
        </w:rPr>
      </w:pPr>
      <w:r>
        <w:rPr>
          <w:rFonts w:hint="eastAsia" w:ascii="仿宋_GB2312" w:hAnsi="仿宋_GB2312" w:eastAsia="仿宋_GB2312" w:cs="仿宋_GB2312"/>
          <w:sz w:val="32"/>
          <w:szCs w:val="32"/>
        </w:rPr>
        <w:t>答：</w:t>
      </w: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lang w:val="en-US" w:eastAsia="zh-CN"/>
        </w:rPr>
        <w:t>2025年度编报通知附件2有关内容，</w:t>
      </w:r>
      <w:r>
        <w:rPr>
          <w:rFonts w:hint="eastAsia" w:ascii="仿宋_GB2312" w:hAnsi="仿宋_GB2312" w:eastAsia="仿宋_GB2312" w:cs="仿宋_GB2312"/>
          <w:b w:val="0"/>
          <w:bCs w:val="0"/>
          <w:sz w:val="32"/>
          <w:szCs w:val="32"/>
        </w:rPr>
        <w:t>部门评价</w:t>
      </w:r>
      <w:r>
        <w:rPr>
          <w:rFonts w:hint="eastAsia" w:ascii="仿宋_GB2312" w:hAnsi="仿宋_GB2312" w:eastAsia="仿宋_GB2312" w:cs="仿宋_GB2312"/>
          <w:b w:val="0"/>
          <w:bCs w:val="0"/>
          <w:sz w:val="32"/>
          <w:szCs w:val="32"/>
          <w:lang w:eastAsia="zh-CN"/>
        </w:rPr>
        <w:t>指标</w:t>
      </w:r>
      <w:r>
        <w:rPr>
          <w:rFonts w:hint="eastAsia" w:ascii="仿宋_GB2312" w:hAnsi="仿宋_GB2312" w:eastAsia="仿宋_GB2312" w:cs="仿宋_GB2312"/>
          <w:b w:val="0"/>
          <w:bCs w:val="0"/>
          <w:sz w:val="32"/>
          <w:szCs w:val="32"/>
        </w:rPr>
        <w:t>第一部分</w:t>
      </w:r>
      <w:r>
        <w:rPr>
          <w:rFonts w:hint="eastAsia" w:ascii="仿宋_GB2312" w:hAnsi="仿宋_GB2312" w:eastAsia="仿宋_GB2312" w:cs="仿宋_GB2312"/>
          <w:b w:val="0"/>
          <w:bCs w:val="0"/>
          <w:sz w:val="32"/>
          <w:szCs w:val="32"/>
          <w:lang w:eastAsia="zh-CN"/>
        </w:rPr>
        <w:t>“部门本级及所属单位内部控制体系建立</w:t>
      </w:r>
      <w:r>
        <w:rPr>
          <w:rFonts w:hint="eastAsia" w:ascii="仿宋_GB2312" w:hAnsi="仿宋_GB2312" w:eastAsia="仿宋_GB2312" w:cs="仿宋_GB2312"/>
          <w:b w:val="0"/>
          <w:bCs w:val="0"/>
          <w:sz w:val="32"/>
          <w:szCs w:val="32"/>
          <w:lang w:val="en-US" w:eastAsia="zh-CN"/>
        </w:rPr>
        <w:t>与实施情况</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的相关指标</w:t>
      </w:r>
      <w:r>
        <w:rPr>
          <w:rFonts w:hint="eastAsia" w:ascii="仿宋_GB2312" w:hAnsi="仿宋_GB2312" w:eastAsia="仿宋_GB2312" w:cs="仿宋_GB2312"/>
          <w:sz w:val="32"/>
          <w:szCs w:val="32"/>
          <w:lang w:val="en-US" w:eastAsia="zh-CN"/>
        </w:rPr>
        <w:t>按部门本级及所属单位对应评价指标得分加权平均计算得出。在填报系统中，由系统根据部门本级及所属单位对应指标的</w:t>
      </w:r>
      <w:r>
        <w:rPr>
          <w:rFonts w:hint="eastAsia" w:ascii="仿宋_GB2312" w:eastAsia="仿宋_GB2312"/>
          <w:b w:val="0"/>
          <w:bCs w:val="0"/>
          <w:sz w:val="32"/>
          <w:szCs w:val="32"/>
        </w:rPr>
        <w:t>复核分数</w:t>
      </w:r>
      <w:r>
        <w:rPr>
          <w:rFonts w:hint="eastAsia" w:ascii="仿宋_GB2312" w:eastAsia="仿宋_GB2312"/>
          <w:b w:val="0"/>
          <w:bCs w:val="0"/>
          <w:sz w:val="32"/>
          <w:szCs w:val="32"/>
          <w:lang w:eastAsia="zh-CN"/>
        </w:rPr>
        <w:t>自动</w:t>
      </w:r>
      <w:r>
        <w:rPr>
          <w:rFonts w:hint="eastAsia" w:ascii="仿宋_GB2312" w:eastAsia="仿宋_GB2312"/>
          <w:b w:val="0"/>
          <w:bCs w:val="0"/>
          <w:sz w:val="32"/>
          <w:szCs w:val="32"/>
        </w:rPr>
        <w:t>计算</w:t>
      </w:r>
      <w:r>
        <w:rPr>
          <w:rFonts w:hint="eastAsia" w:ascii="仿宋_GB2312" w:eastAsia="仿宋_GB2312"/>
          <w:b w:val="0"/>
          <w:bCs w:val="0"/>
          <w:sz w:val="32"/>
          <w:szCs w:val="32"/>
          <w:lang w:eastAsia="zh-CN"/>
        </w:rPr>
        <w:t>。</w:t>
      </w:r>
      <w:r>
        <w:rPr>
          <w:rFonts w:hint="eastAsia" w:ascii="仿宋_GB2312" w:hAnsi="仿宋_GB2312" w:eastAsia="仿宋_GB2312" w:cs="仿宋_GB2312"/>
          <w:color w:val="000000"/>
          <w:spacing w:val="-2"/>
          <w:kern w:val="0"/>
          <w:sz w:val="32"/>
          <w:szCs w:val="32"/>
          <w:lang w:eastAsia="zh-CN"/>
        </w:rPr>
        <w:t>计算公式为：</w:t>
      </w:r>
    </w:p>
    <w:p>
      <w:pPr>
        <w:rPr>
          <w:rFonts w:hint="eastAsia" w:ascii="仿宋_GB2312" w:hAnsi="仿宋_GB2312" w:eastAsia="仿宋_GB2312" w:cs="仿宋_GB2312"/>
          <w:b w:val="0"/>
          <w:i w:val="0"/>
          <w:color w:val="000000"/>
          <w:spacing w:val="-2"/>
          <w:kern w:val="2"/>
          <w:sz w:val="32"/>
          <w:szCs w:val="32"/>
          <w:lang w:val="en-US" w:eastAsia="zh-CN" w:bidi="ar"/>
        </w:rPr>
      </w:pPr>
      <m:oMathPara>
        <m:oMathParaPr>
          <m:jc m:val="left"/>
        </m:oMathParaPr>
        <m:oMath>
          <m:r>
            <m:rPr>
              <m:sty m:val="p"/>
            </m:rPr>
            <w:rPr>
              <w:rFonts w:hint="eastAsia" w:ascii="DejaVu Math TeX Gyre" w:hAnsi="DejaVu Math TeX Gyre" w:eastAsia="仿宋_GB2312" w:cs="仿宋_GB2312"/>
              <w:color w:val="000000"/>
              <w:spacing w:val="-2"/>
              <w:kern w:val="2"/>
              <w:sz w:val="32"/>
              <w:szCs w:val="32"/>
              <w:lang w:val="en-US" w:eastAsia="zh-CN" w:bidi="ar"/>
            </w:rPr>
            <m:t>指标评价得分=</m:t>
          </m:r>
          <m:f>
            <m:fPr>
              <m:ctrlPr>
                <w:rPr>
                  <w:rFonts w:hint="eastAsia" w:ascii="DejaVu Math TeX Gyre" w:hAnsi="DejaVu Math TeX Gyre" w:eastAsia="仿宋_GB2312" w:cs="仿宋_GB2312"/>
                  <w:color w:val="000000"/>
                  <w:spacing w:val="-2"/>
                  <w:kern w:val="2"/>
                  <w:sz w:val="32"/>
                  <w:szCs w:val="32"/>
                  <w:lang w:val="en-US" w:eastAsia="zh-CN" w:bidi="ar"/>
                </w:rPr>
              </m:ctrlPr>
            </m:fPr>
            <m:num>
              <m:eqArr>
                <m:eqArrPr>
                  <m:ctrlPr>
                    <w:rPr>
                      <w:rFonts w:hint="eastAsia" w:ascii="DejaVu Math TeX Gyre" w:hAnsi="DejaVu Math TeX Gyre" w:eastAsia="仿宋_GB2312" w:cs="仿宋_GB2312"/>
                      <w:color w:val="000000"/>
                      <w:spacing w:val="-2"/>
                      <w:kern w:val="2"/>
                      <w:sz w:val="32"/>
                      <w:szCs w:val="32"/>
                      <w:lang w:val="en-US" w:eastAsia="zh-CN" w:bidi="ar"/>
                    </w:rPr>
                  </m:ctrlPr>
                </m:eqArrPr>
                <m:e>
                  <m:r>
                    <m:rPr>
                      <m:sty m:val="p"/>
                    </m:rPr>
                    <w:rPr>
                      <w:rFonts w:hint="eastAsia" w:ascii="DejaVu Math TeX Gyre" w:hAnsi="DejaVu Math TeX Gyre" w:eastAsia="仿宋_GB2312" w:cs="仿宋_GB2312"/>
                      <w:color w:val="000000"/>
                      <w:spacing w:val="-2"/>
                      <w:kern w:val="2"/>
                      <w:sz w:val="32"/>
                      <w:szCs w:val="32"/>
                      <w:lang w:val="en-US" w:eastAsia="zh-CN" w:bidi="ar"/>
                    </w:rPr>
                    <m:t>Σ(所属各级单位对应二级评价指标的评价内容复核得分)</m:t>
                  </m:r>
                  <m:ctrlPr>
                    <w:rPr>
                      <w:rFonts w:hint="eastAsia" w:ascii="DejaVu Math TeX Gyre" w:hAnsi="DejaVu Math TeX Gyre" w:eastAsia="仿宋_GB2312" w:cs="仿宋_GB2312"/>
                      <w:color w:val="000000"/>
                      <w:spacing w:val="-2"/>
                      <w:kern w:val="2"/>
                      <w:sz w:val="32"/>
                      <w:szCs w:val="32"/>
                      <w:lang w:val="en-US" w:eastAsia="zh-CN" w:bidi="ar"/>
                    </w:rPr>
                  </m:ctrlPr>
                </m:e>
              </m:eqArr>
              <m:ctrlPr>
                <w:rPr>
                  <w:rFonts w:hint="eastAsia" w:ascii="DejaVu Math TeX Gyre" w:hAnsi="DejaVu Math TeX Gyre" w:eastAsia="仿宋_GB2312" w:cs="仿宋_GB2312"/>
                  <w:color w:val="000000"/>
                  <w:spacing w:val="-2"/>
                  <w:kern w:val="2"/>
                  <w:sz w:val="32"/>
                  <w:szCs w:val="32"/>
                  <w:lang w:val="en-US" w:eastAsia="zh-CN" w:bidi="ar"/>
                </w:rPr>
              </m:ctrlPr>
            </m:num>
            <m:den>
              <m:r>
                <m:rPr>
                  <m:sty m:val="p"/>
                </m:rPr>
                <w:rPr>
                  <w:rFonts w:hint="eastAsia" w:ascii="DejaVu Math TeX Gyre" w:hAnsi="DejaVu Math TeX Gyre" w:eastAsia="仿宋_GB2312" w:cs="仿宋_GB2312"/>
                  <w:color w:val="000000"/>
                  <w:spacing w:val="-2"/>
                  <w:kern w:val="2"/>
                  <w:sz w:val="32"/>
                  <w:szCs w:val="32"/>
                  <w:lang w:val="en-US" w:eastAsia="zh-CN" w:bidi="ar"/>
                </w:rPr>
                <m:t>所属各级单位数量</m:t>
              </m:r>
              <m:ctrlPr>
                <w:rPr>
                  <w:rFonts w:hint="eastAsia" w:ascii="DejaVu Math TeX Gyre" w:hAnsi="DejaVu Math TeX Gyre" w:eastAsia="仿宋_GB2312" w:cs="仿宋_GB2312"/>
                  <w:color w:val="000000"/>
                  <w:spacing w:val="-2"/>
                  <w:kern w:val="2"/>
                  <w:sz w:val="32"/>
                  <w:szCs w:val="32"/>
                  <w:lang w:val="en-US" w:eastAsia="zh-CN" w:bidi="ar"/>
                </w:rPr>
              </m:ctrlPr>
            </m:den>
          </m:f>
        </m:oMath>
      </m:oMathPara>
    </w:p>
    <w:p>
      <w:pPr>
        <w:rPr>
          <w:rFonts w:hint="eastAsia" w:ascii="仿宋_GB2312" w:hAnsi="仿宋_GB2312" w:eastAsia="仿宋_GB2312" w:cs="仿宋_GB2312"/>
          <w:sz w:val="32"/>
          <w:szCs w:val="32"/>
        </w:rPr>
      </w:pPr>
      <m:oMathPara>
        <m:oMathParaPr>
          <m:jc m:val="left"/>
        </m:oMathParaPr>
        <m:oMath>
          <m:r>
            <m:rPr>
              <m:nor/>
              <m:sty m:val="p"/>
            </m:rPr>
            <w:rPr>
              <w:rFonts w:hint="eastAsia" w:ascii="DejaVu Math TeX Gyre" w:hAnsi="DejaVu Math TeX Gyre" w:eastAsia="仿宋_GB2312" w:cs="仿宋_GB2312"/>
              <w:b w:val="0"/>
              <w:i w:val="0"/>
              <w:color w:val="000000"/>
              <w:spacing w:val="-2"/>
              <w:kern w:val="2"/>
              <w:sz w:val="32"/>
              <w:szCs w:val="32"/>
              <w:lang w:val="en-US" w:eastAsia="zh-CN" w:bidi="ar"/>
            </w:rPr>
            <m:t>×</m:t>
          </m:r>
          <m:f>
            <m:fPr>
              <m:ctrlPr>
                <w:rPr>
                  <w:rFonts w:hint="eastAsia" w:ascii="DejaVu Math TeX Gyre" w:hAnsi="DejaVu Math TeX Gyre" w:eastAsia="仿宋_GB2312" w:cs="仿宋_GB2312"/>
                  <w:i w:val="0"/>
                  <w:color w:val="000000"/>
                  <w:spacing w:val="-2"/>
                  <w:kern w:val="2"/>
                  <w:sz w:val="32"/>
                  <w:szCs w:val="32"/>
                  <w:lang w:val="en-US" w:eastAsia="zh-CN" w:bidi="ar"/>
                </w:rPr>
              </m:ctrlPr>
            </m:fPr>
            <m:num>
              <m:r>
                <m:rPr>
                  <m:sty m:val="p"/>
                </m:rPr>
                <w:rPr>
                  <w:rFonts w:hint="eastAsia" w:ascii="DejaVu Math TeX Gyre" w:hAnsi="DejaVu Math TeX Gyre" w:eastAsia="仿宋_GB2312" w:cs="仿宋_GB2312"/>
                  <w:color w:val="000000"/>
                  <w:spacing w:val="-2"/>
                  <w:kern w:val="2"/>
                  <w:sz w:val="32"/>
                  <w:szCs w:val="32"/>
                  <w:lang w:val="en-US" w:eastAsia="zh-CN" w:bidi="ar"/>
                </w:rPr>
                <m:t>部门评价内容分值</m:t>
              </m:r>
              <m:ctrlPr>
                <w:rPr>
                  <w:rFonts w:hint="eastAsia" w:ascii="DejaVu Math TeX Gyre" w:hAnsi="DejaVu Math TeX Gyre" w:eastAsia="仿宋_GB2312" w:cs="仿宋_GB2312"/>
                  <w:i w:val="0"/>
                  <w:color w:val="000000"/>
                  <w:spacing w:val="-2"/>
                  <w:kern w:val="2"/>
                  <w:sz w:val="32"/>
                  <w:szCs w:val="32"/>
                  <w:lang w:val="en-US" w:eastAsia="zh-CN" w:bidi="ar"/>
                </w:rPr>
              </m:ctrlPr>
            </m:num>
            <m:den>
              <m:eqArr>
                <m:eqArrPr>
                  <m:ctrlPr>
                    <w:rPr>
                      <w:rFonts w:hint="eastAsia" w:ascii="DejaVu Math TeX Gyre" w:hAnsi="DejaVu Math TeX Gyre" w:eastAsia="仿宋_GB2312" w:cs="仿宋_GB2312"/>
                      <w:color w:val="000000"/>
                      <w:spacing w:val="-2"/>
                      <w:kern w:val="2"/>
                      <w:sz w:val="32"/>
                      <w:szCs w:val="32"/>
                      <w:lang w:val="en-US" w:eastAsia="zh-CN" w:bidi="ar"/>
                    </w:rPr>
                  </m:ctrlPr>
                </m:eqArrPr>
                <m:e>
                  <m:r>
                    <m:rPr>
                      <m:sty m:val="p"/>
                    </m:rPr>
                    <w:rPr>
                      <w:rFonts w:hint="eastAsia" w:ascii="DejaVu Math TeX Gyre" w:hAnsi="DejaVu Math TeX Gyre" w:eastAsia="仿宋_GB2312" w:cs="仿宋_GB2312"/>
                      <w:color w:val="000000"/>
                      <w:spacing w:val="-2"/>
                      <w:kern w:val="2"/>
                      <w:sz w:val="32"/>
                      <w:szCs w:val="32"/>
                      <w:lang w:val="en-US" w:bidi="ar"/>
                    </w:rPr>
                    <m:t>Σ</m:t>
                  </m:r>
                  <m:r>
                    <m:rPr>
                      <m:sty m:val="p"/>
                    </m:rPr>
                    <w:rPr>
                      <w:rFonts w:hint="eastAsia" w:ascii="DejaVu Math TeX Gyre" w:hAnsi="DejaVu Math TeX Gyre" w:eastAsia="仿宋_GB2312" w:cs="仿宋_GB2312"/>
                      <w:color w:val="000000"/>
                      <w:spacing w:val="-2"/>
                      <w:kern w:val="2"/>
                      <w:sz w:val="32"/>
                      <w:szCs w:val="32"/>
                      <w:lang w:val="en-US" w:eastAsia="zh-CN" w:bidi="ar"/>
                    </w:rPr>
                    <m:t>(对应单位二级评价指标的内容分值)</m:t>
                  </m:r>
                  <m:ctrlPr>
                    <w:rPr>
                      <w:rFonts w:hint="eastAsia" w:ascii="DejaVu Math TeX Gyre" w:hAnsi="DejaVu Math TeX Gyre" w:eastAsia="仿宋_GB2312" w:cs="仿宋_GB2312"/>
                      <w:color w:val="000000"/>
                      <w:spacing w:val="-2"/>
                      <w:kern w:val="2"/>
                      <w:sz w:val="32"/>
                      <w:szCs w:val="32"/>
                      <w:lang w:val="en-US" w:eastAsia="zh-CN" w:bidi="ar"/>
                    </w:rPr>
                  </m:ctrlPr>
                </m:e>
              </m:eqArr>
              <m:ctrlPr>
                <w:rPr>
                  <w:rFonts w:hint="eastAsia" w:ascii="DejaVu Math TeX Gyre" w:hAnsi="DejaVu Math TeX Gyre" w:eastAsia="仿宋_GB2312" w:cs="仿宋_GB2312"/>
                  <w:color w:val="000000"/>
                  <w:spacing w:val="-2"/>
                  <w:kern w:val="2"/>
                  <w:sz w:val="32"/>
                  <w:szCs w:val="32"/>
                  <w:lang w:val="en-US" w:eastAsia="zh-CN" w:bidi="ar"/>
                </w:rPr>
              </m:ctrlPr>
            </m:den>
          </m:f>
        </m:oMath>
      </m:oMathPara>
    </w:p>
    <w:p>
      <w:pPr>
        <w:pStyle w:val="8"/>
        <w:keepNext w:val="0"/>
        <w:keepLines w:val="0"/>
        <w:pageBreakBefore w:val="0"/>
        <w:widowControl/>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after="0" w:line="588" w:lineRule="exact"/>
        <w:ind w:firstLine="642" w:firstLineChars="200"/>
        <w:textAlignment w:val="auto"/>
        <w:rPr>
          <w:rFonts w:hint="eastAsia" w:ascii="仿宋_GB2312" w:hAnsi="Calibri" w:eastAsia="仿宋_GB2312" w:cs="Times New Roman"/>
          <w:b/>
          <w:bCs/>
          <w:i w:val="0"/>
          <w:iCs w:val="0"/>
          <w:spacing w:val="0"/>
          <w:kern w:val="0"/>
          <w:sz w:val="32"/>
          <w:szCs w:val="32"/>
          <w:lang w:val="en-US" w:eastAsia="zh-CN" w:bidi="ar-SA"/>
        </w:rPr>
      </w:pPr>
      <w:r>
        <w:rPr>
          <w:rFonts w:hint="eastAsia" w:ascii="仿宋_GB2312" w:hAnsi="Calibri" w:eastAsia="仿宋_GB2312" w:cs="Times New Roman"/>
          <w:b/>
          <w:bCs/>
          <w:spacing w:val="0"/>
          <w:kern w:val="0"/>
          <w:sz w:val="32"/>
          <w:szCs w:val="32"/>
          <w:lang w:val="en-US" w:eastAsia="zh-CN"/>
        </w:rPr>
        <w:t>6.</w:t>
      </w:r>
      <w:r>
        <w:rPr>
          <w:rFonts w:hint="eastAsia" w:ascii="仿宋_GB2312" w:hAnsi="Calibri" w:eastAsia="仿宋_GB2312" w:cs="Times New Roman"/>
          <w:b/>
          <w:bCs/>
          <w:i w:val="0"/>
          <w:iCs w:val="0"/>
          <w:spacing w:val="0"/>
          <w:kern w:val="0"/>
          <w:sz w:val="32"/>
          <w:szCs w:val="32"/>
          <w:lang w:val="en-US" w:eastAsia="zh-CN" w:bidi="ar-SA"/>
        </w:rPr>
        <w:t>主管部门的内部控制评价</w:t>
      </w:r>
      <w:r>
        <w:rPr>
          <w:rFonts w:hint="eastAsia" w:ascii="仿宋_GB2312" w:eastAsia="仿宋_GB2312" w:cs="Times New Roman"/>
          <w:b/>
          <w:bCs/>
          <w:i w:val="0"/>
          <w:iCs w:val="0"/>
          <w:spacing w:val="0"/>
          <w:kern w:val="0"/>
          <w:sz w:val="32"/>
          <w:szCs w:val="32"/>
          <w:lang w:val="en-US" w:eastAsia="zh-CN" w:bidi="ar-SA"/>
        </w:rPr>
        <w:t>报告</w:t>
      </w:r>
      <w:r>
        <w:rPr>
          <w:rFonts w:hint="default" w:ascii="仿宋_GB2312" w:eastAsia="仿宋_GB2312" w:cs="Times New Roman"/>
          <w:b/>
          <w:bCs/>
          <w:i w:val="0"/>
          <w:iCs w:val="0"/>
          <w:spacing w:val="0"/>
          <w:kern w:val="0"/>
          <w:sz w:val="32"/>
          <w:szCs w:val="32"/>
          <w:lang w:eastAsia="zh-CN" w:bidi="ar-SA"/>
        </w:rPr>
        <w:t>是否需要</w:t>
      </w:r>
      <w:r>
        <w:rPr>
          <w:rFonts w:hint="eastAsia" w:ascii="仿宋_GB2312" w:hAnsi="Calibri" w:eastAsia="仿宋_GB2312" w:cs="Times New Roman"/>
          <w:b/>
          <w:bCs/>
          <w:i w:val="0"/>
          <w:iCs w:val="0"/>
          <w:spacing w:val="0"/>
          <w:kern w:val="0"/>
          <w:sz w:val="32"/>
          <w:szCs w:val="32"/>
          <w:lang w:val="en-US" w:eastAsia="zh-CN" w:bidi="ar-SA"/>
        </w:rPr>
        <w:t>复核？</w:t>
      </w:r>
    </w:p>
    <w:p>
      <w:pPr>
        <w:keepNext w:val="0"/>
        <w:keepLines w:val="0"/>
        <w:pageBreakBefore w:val="0"/>
        <w:widowControl w:val="0"/>
        <w:kinsoku/>
        <w:wordWrap/>
        <w:overflowPunct/>
        <w:topLinePunct w:val="0"/>
        <w:autoSpaceDE/>
        <w:autoSpaceDN/>
        <w:bidi w:val="0"/>
        <w:adjustRightInd/>
        <w:snapToGrid/>
        <w:spacing w:after="0" w:line="58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答：</w:t>
      </w:r>
      <w:r>
        <w:rPr>
          <w:rFonts w:hint="eastAsia" w:ascii="仿宋_GB2312" w:hAnsi="仿宋_GB2312" w:eastAsia="仿宋_GB2312" w:cs="仿宋_GB2312"/>
          <w:sz w:val="32"/>
          <w:szCs w:val="32"/>
          <w:lang w:eastAsia="zh-CN"/>
        </w:rPr>
        <w:t>主管部门开展的部门内部控制评价报告不需要复核。但是根据《行政事业单位内部控制评价办法》第二十七条有关规定，各级政府财政部门应当每年抽取一定比例的同级政府部门，对其内部控制评价情况进行监督，督促各部门高质量完成内部控制评价工作。</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outlineLvl w:val="0"/>
        <w:rPr>
          <w:sz w:val="32"/>
          <w:szCs w:val="32"/>
        </w:rPr>
      </w:pPr>
      <w:r>
        <w:rPr>
          <w:rFonts w:hint="eastAsia" w:ascii="Times New Roman" w:hAnsi="Times New Roman" w:eastAsia="黑体"/>
          <w:color w:val="000000"/>
          <w:spacing w:val="-2"/>
          <w:sz w:val="32"/>
          <w:szCs w:val="32"/>
          <w:lang w:val="en"/>
        </w:rPr>
        <w:t>二、内部控制报告常见问题</w:t>
      </w:r>
    </w:p>
    <w:p>
      <w:pPr>
        <w:keepNext w:val="0"/>
        <w:keepLines w:val="0"/>
        <w:pageBreakBefore w:val="0"/>
        <w:widowControl w:val="0"/>
        <w:kinsoku/>
        <w:wordWrap/>
        <w:overflowPunct/>
        <w:topLinePunct w:val="0"/>
        <w:autoSpaceDE/>
        <w:autoSpaceDN/>
        <w:bidi w:val="0"/>
        <w:adjustRightInd/>
        <w:snapToGrid/>
        <w:spacing w:after="0" w:line="588" w:lineRule="exact"/>
        <w:ind w:firstLine="634" w:firstLineChars="200"/>
        <w:textAlignment w:val="auto"/>
        <w:rPr>
          <w:rFonts w:hint="eastAsia" w:ascii="仿宋_GB2312" w:hAnsi="仿宋_GB2312" w:eastAsia="仿宋_GB2312" w:cs="仿宋_GB2312"/>
          <w:b/>
          <w:bCs/>
          <w:color w:val="000000"/>
          <w:spacing w:val="-2"/>
          <w:kern w:val="0"/>
          <w:sz w:val="32"/>
          <w:szCs w:val="32"/>
        </w:rPr>
      </w:pPr>
      <w:r>
        <w:rPr>
          <w:rFonts w:hint="eastAsia" w:ascii="仿宋_GB2312" w:hAnsi="仿宋_GB2312" w:eastAsia="仿宋_GB2312" w:cs="仿宋_GB2312"/>
          <w:b/>
          <w:bCs/>
          <w:color w:val="000000"/>
          <w:spacing w:val="-2"/>
          <w:kern w:val="0"/>
          <w:sz w:val="32"/>
          <w:szCs w:val="32"/>
          <w:lang w:val="en-US" w:eastAsia="zh-CN"/>
        </w:rPr>
        <w:t>7</w:t>
      </w:r>
      <w:r>
        <w:rPr>
          <w:rFonts w:hint="eastAsia" w:ascii="仿宋_GB2312" w:hAnsi="仿宋_GB2312" w:eastAsia="仿宋_GB2312" w:cs="仿宋_GB2312"/>
          <w:b/>
          <w:bCs/>
          <w:color w:val="000000"/>
          <w:spacing w:val="-2"/>
          <w:kern w:val="0"/>
          <w:sz w:val="32"/>
          <w:szCs w:val="32"/>
        </w:rPr>
        <w:t>.</w:t>
      </w:r>
      <w:r>
        <w:rPr>
          <w:rFonts w:hint="eastAsia" w:ascii="仿宋_GB2312" w:hAnsi="仿宋_GB2312" w:eastAsia="仿宋_GB2312" w:cs="仿宋_GB2312"/>
          <w:b/>
          <w:bCs/>
          <w:color w:val="000000"/>
          <w:spacing w:val="-2"/>
          <w:kern w:val="0"/>
          <w:sz w:val="32"/>
          <w:szCs w:val="32"/>
          <w:lang w:eastAsia="zh-CN"/>
        </w:rPr>
        <w:t>部门所属单位有评价发现问题并且已经录入相关信息，为什么部门汇总内部控制报告中“部门内部控制评价发现的问题及整改情况”没有相关内容</w:t>
      </w:r>
      <w:r>
        <w:rPr>
          <w:rFonts w:hint="eastAsia" w:ascii="仿宋_GB2312" w:hAnsi="仿宋_GB2312" w:eastAsia="仿宋_GB2312" w:cs="仿宋_GB2312"/>
          <w:b/>
          <w:bCs/>
          <w:color w:val="000000"/>
          <w:spacing w:val="-2"/>
          <w:kern w:val="0"/>
          <w:sz w:val="32"/>
          <w:szCs w:val="32"/>
        </w:rPr>
        <w:t>？</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color w:val="000000"/>
          <w:spacing w:val="-2"/>
          <w:sz w:val="32"/>
          <w:szCs w:val="32"/>
          <w:lang w:eastAsia="zh-CN"/>
        </w:rPr>
      </w:pPr>
      <w:r>
        <w:rPr>
          <w:rFonts w:hint="eastAsia" w:ascii="仿宋_GB2312" w:hAnsi="仿宋_GB2312" w:eastAsia="仿宋_GB2312" w:cs="仿宋_GB2312"/>
          <w:color w:val="000000"/>
          <w:spacing w:val="-2"/>
          <w:sz w:val="32"/>
          <w:szCs w:val="32"/>
        </w:rPr>
        <w:t>答：</w:t>
      </w:r>
      <w:r>
        <w:rPr>
          <w:rFonts w:hint="eastAsia" w:ascii="仿宋_GB2312" w:hAnsi="仿宋_GB2312" w:eastAsia="仿宋_GB2312" w:cs="仿宋_GB2312"/>
          <w:color w:val="000000"/>
          <w:spacing w:val="-2"/>
          <w:sz w:val="32"/>
          <w:szCs w:val="32"/>
          <w:lang w:eastAsia="zh-CN"/>
        </w:rPr>
        <w:t>部门汇总内部控制报告附件中的“三、部门内部控制评价发现的问题及整改情况”反映的是部门评价中发现的部门内部控制存在的问题及整改情况，不是部门所属单位内部控制评价发现问题的汇总情况。部门可在填报系统中通过“问题管理”功能模块查看所属单位评价发现的问题汇总情况。</w:t>
      </w:r>
    </w:p>
    <w:p>
      <w:pPr>
        <w:spacing w:after="0" w:line="588" w:lineRule="exact"/>
        <w:ind w:firstLine="634" w:firstLineChars="200"/>
        <w:rPr>
          <w:rFonts w:hint="eastAsia" w:ascii="仿宋_GB2312" w:hAnsi="仿宋_GB2312" w:eastAsia="仿宋_GB2312" w:cs="仿宋_GB2312"/>
          <w:b/>
          <w:bCs/>
          <w:color w:val="000000"/>
          <w:spacing w:val="-2"/>
          <w:sz w:val="32"/>
          <w:szCs w:val="32"/>
        </w:rPr>
      </w:pPr>
      <w:r>
        <w:rPr>
          <w:rFonts w:hint="eastAsia" w:ascii="仿宋_GB2312" w:hAnsi="仿宋_GB2312" w:eastAsia="仿宋_GB2312" w:cs="仿宋_GB2312"/>
          <w:b/>
          <w:bCs/>
          <w:color w:val="000000"/>
          <w:spacing w:val="-2"/>
          <w:sz w:val="32"/>
          <w:szCs w:val="32"/>
          <w:lang w:val="en-US" w:eastAsia="zh-CN"/>
        </w:rPr>
        <w:t>8</w:t>
      </w:r>
      <w:r>
        <w:rPr>
          <w:rFonts w:hint="eastAsia" w:ascii="仿宋_GB2312" w:hAnsi="仿宋_GB2312" w:eastAsia="仿宋_GB2312" w:cs="仿宋_GB2312"/>
          <w:b/>
          <w:bCs/>
          <w:color w:val="000000"/>
          <w:spacing w:val="-2"/>
          <w:sz w:val="32"/>
          <w:szCs w:val="32"/>
        </w:rPr>
        <w:t>.内控报告要求上传签章扫描件</w:t>
      </w:r>
      <w:r>
        <w:rPr>
          <w:rFonts w:hint="eastAsia" w:ascii="仿宋_GB2312" w:hAnsi="仿宋_GB2312" w:eastAsia="仿宋_GB2312" w:cs="仿宋_GB2312"/>
          <w:b/>
          <w:bCs/>
          <w:color w:val="000000"/>
          <w:spacing w:val="-2"/>
          <w:sz w:val="32"/>
          <w:szCs w:val="32"/>
          <w:lang w:eastAsia="zh-CN"/>
        </w:rPr>
        <w:t>，是上传封面还是整个报告</w:t>
      </w:r>
      <w:r>
        <w:rPr>
          <w:rFonts w:hint="eastAsia" w:ascii="仿宋_GB2312" w:hAnsi="仿宋_GB2312" w:eastAsia="仿宋_GB2312" w:cs="仿宋_GB2312"/>
          <w:b/>
          <w:bCs/>
          <w:color w:val="000000"/>
          <w:spacing w:val="-2"/>
          <w:sz w:val="32"/>
          <w:szCs w:val="32"/>
        </w:rPr>
        <w:t>？</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color w:val="000000"/>
          <w:spacing w:val="-2"/>
          <w:sz w:val="32"/>
          <w:szCs w:val="32"/>
          <w:lang w:val="en-US" w:eastAsia="zh-CN"/>
        </w:rPr>
      </w:pPr>
      <w:r>
        <w:rPr>
          <w:rFonts w:hint="eastAsia" w:ascii="仿宋_GB2312" w:hAnsi="仿宋_GB2312" w:eastAsia="仿宋_GB2312" w:cs="仿宋_GB2312"/>
          <w:color w:val="000000"/>
          <w:spacing w:val="-2"/>
          <w:sz w:val="32"/>
          <w:szCs w:val="32"/>
        </w:rPr>
        <w:t>答：</w:t>
      </w:r>
      <w:r>
        <w:rPr>
          <w:rFonts w:hint="eastAsia" w:ascii="仿宋_GB2312" w:hAnsi="仿宋_GB2312" w:eastAsia="仿宋_GB2312" w:cs="仿宋_GB2312"/>
          <w:color w:val="000000"/>
          <w:spacing w:val="-2"/>
          <w:sz w:val="32"/>
          <w:szCs w:val="32"/>
          <w:lang w:eastAsia="zh-CN"/>
        </w:rPr>
        <w:t>根据</w:t>
      </w:r>
      <w:r>
        <w:rPr>
          <w:rFonts w:hint="eastAsia" w:ascii="仿宋_GB2312" w:hAnsi="仿宋_GB2312" w:eastAsia="仿宋_GB2312" w:cs="仿宋_GB2312"/>
          <w:color w:val="000000"/>
          <w:spacing w:val="-2"/>
          <w:sz w:val="32"/>
          <w:szCs w:val="32"/>
          <w:lang w:val="en-US" w:eastAsia="zh-CN"/>
        </w:rPr>
        <w:t>2025年度编报通知“二、具体编报要求”相关规定，各中央部门将加盖公章的部门汇总内部控制报告封面扫描件上传到填报系统；各地区上传地区汇总内部控制报告的可编辑版本及加盖公章的封面扫描件；各地监管局上传对辖区范围内中央驻地方预算单位内部控制评价和内部控制报告编报工作开展情况的分析报告的可编辑版本及加盖公章的封面扫描件。</w:t>
      </w:r>
    </w:p>
    <w:p>
      <w:pPr>
        <w:pStyle w:val="4"/>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outlineLvl w:val="0"/>
        <w:rPr>
          <w:rFonts w:hint="eastAsia" w:ascii="Times New Roman" w:hAnsi="Times New Roman" w:eastAsia="黑体"/>
          <w:color w:val="000000"/>
          <w:spacing w:val="-2"/>
          <w:sz w:val="32"/>
          <w:szCs w:val="32"/>
          <w:lang w:val="en"/>
        </w:rPr>
      </w:pPr>
      <w:r>
        <w:rPr>
          <w:rFonts w:hint="eastAsia" w:ascii="Times New Roman" w:hAnsi="Times New Roman" w:eastAsia="黑体"/>
          <w:color w:val="000000"/>
          <w:spacing w:val="-2"/>
          <w:sz w:val="32"/>
          <w:szCs w:val="32"/>
          <w:lang w:val="en"/>
        </w:rPr>
        <w:t>三、系统操作常见问题</w:t>
      </w:r>
    </w:p>
    <w:p>
      <w:pPr>
        <w:keepNext w:val="0"/>
        <w:keepLines w:val="0"/>
        <w:pageBreakBefore w:val="0"/>
        <w:widowControl w:val="0"/>
        <w:kinsoku/>
        <w:wordWrap/>
        <w:overflowPunct/>
        <w:topLinePunct w:val="0"/>
        <w:autoSpaceDE/>
        <w:autoSpaceDN/>
        <w:bidi w:val="0"/>
        <w:adjustRightInd/>
        <w:snapToGrid/>
        <w:spacing w:after="0" w:line="588" w:lineRule="exact"/>
        <w:ind w:firstLine="634" w:firstLineChars="200"/>
        <w:textAlignment w:val="auto"/>
        <w:rPr>
          <w:rFonts w:hint="eastAsia" w:ascii="仿宋_GB2312" w:hAnsi="仿宋_GB2312" w:eastAsia="仿宋_GB2312" w:cs="仿宋_GB2312"/>
          <w:b/>
          <w:bCs/>
          <w:color w:val="000000"/>
          <w:spacing w:val="-2"/>
          <w:kern w:val="0"/>
          <w:sz w:val="32"/>
          <w:szCs w:val="32"/>
          <w:lang w:val="en-US" w:eastAsia="zh-CN"/>
        </w:rPr>
      </w:pPr>
      <w:r>
        <w:rPr>
          <w:rFonts w:hint="eastAsia" w:ascii="仿宋_GB2312" w:hAnsi="仿宋_GB2312" w:eastAsia="仿宋_GB2312" w:cs="仿宋_GB2312"/>
          <w:b/>
          <w:bCs/>
          <w:color w:val="000000"/>
          <w:spacing w:val="-2"/>
          <w:kern w:val="0"/>
          <w:sz w:val="32"/>
          <w:szCs w:val="32"/>
          <w:lang w:val="en-US" w:eastAsia="zh-CN"/>
        </w:rPr>
        <w:t>9.如何在内部控制报告中关联</w:t>
      </w:r>
      <w:r>
        <w:rPr>
          <w:rFonts w:hint="eastAsia" w:ascii="仿宋_GB2312" w:hAnsi="仿宋_GB2312" w:eastAsia="仿宋_GB2312" w:cs="仿宋_GB2312"/>
          <w:b/>
          <w:bCs/>
          <w:color w:val="000000"/>
          <w:spacing w:val="-2"/>
          <w:kern w:val="0"/>
          <w:sz w:val="32"/>
          <w:szCs w:val="32"/>
        </w:rPr>
        <w:t>内部控制</w:t>
      </w:r>
      <w:r>
        <w:rPr>
          <w:rFonts w:hint="eastAsia" w:ascii="仿宋_GB2312" w:hAnsi="仿宋_GB2312" w:eastAsia="仿宋_GB2312" w:cs="仿宋_GB2312"/>
          <w:b/>
          <w:bCs/>
          <w:color w:val="000000"/>
          <w:spacing w:val="-2"/>
          <w:kern w:val="0"/>
          <w:sz w:val="32"/>
          <w:szCs w:val="32"/>
          <w:lang w:val="en-US" w:eastAsia="zh-CN"/>
        </w:rPr>
        <w:t>评价已上传的佐证材料</w:t>
      </w:r>
      <w:r>
        <w:rPr>
          <w:rFonts w:hint="eastAsia" w:ascii="仿宋_GB2312" w:hAnsi="仿宋_GB2312" w:eastAsia="仿宋_GB2312" w:cs="仿宋_GB2312"/>
          <w:b/>
          <w:bCs/>
          <w:color w:val="000000"/>
          <w:spacing w:val="-2"/>
          <w:kern w:val="0"/>
          <w:sz w:val="32"/>
          <w:szCs w:val="32"/>
        </w:rPr>
        <w:t>？</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rPr>
        <w:t>答：</w:t>
      </w:r>
      <w:r>
        <w:rPr>
          <w:rFonts w:hint="eastAsia" w:ascii="仿宋_GB2312" w:hAnsi="仿宋_GB2312" w:eastAsia="仿宋_GB2312" w:cs="仿宋_GB2312"/>
          <w:color w:val="000000"/>
          <w:spacing w:val="-2"/>
          <w:kern w:val="0"/>
          <w:sz w:val="32"/>
          <w:szCs w:val="32"/>
          <w:lang w:eastAsia="zh-CN"/>
        </w:rPr>
        <w:t>在</w:t>
      </w:r>
      <w:r>
        <w:rPr>
          <w:rFonts w:hint="eastAsia" w:ascii="仿宋_GB2312" w:hAnsi="仿宋_GB2312" w:eastAsia="仿宋_GB2312" w:cs="仿宋_GB2312"/>
          <w:color w:val="000000"/>
          <w:spacing w:val="-2"/>
          <w:kern w:val="0"/>
          <w:sz w:val="32"/>
          <w:szCs w:val="32"/>
          <w:lang w:val="en-US" w:eastAsia="zh-CN"/>
        </w:rPr>
        <w:t>内部控制报告填报页面中，点击右上角的【数据提取】按钮，即可自动关联内部控制评价相应指标的佐证材料。详见图2。</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b/>
          <w:bCs/>
          <w:color w:val="000000"/>
          <w:spacing w:val="-2"/>
          <w:kern w:val="0"/>
          <w:sz w:val="32"/>
          <w:szCs w:val="32"/>
          <w:lang w:val="en-US" w:eastAsia="zh-CN"/>
        </w:rPr>
      </w:pPr>
      <w:r>
        <w:drawing>
          <wp:inline distT="0" distB="0" distL="114300" distR="114300">
            <wp:extent cx="5264785" cy="2601595"/>
            <wp:effectExtent l="0" t="0" r="12065" b="8255"/>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8"/>
                    <a:stretch>
                      <a:fillRect/>
                    </a:stretch>
                  </pic:blipFill>
                  <pic:spPr>
                    <a:xfrm>
                      <a:off x="0" y="0"/>
                      <a:ext cx="5264785" cy="2601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eastAsia" w:ascii="仿宋_GB2312" w:hAnsi="仿宋_GB2312" w:eastAsia="仿宋_GB2312" w:cs="仿宋_GB2312"/>
          <w:b w:val="0"/>
          <w:bCs w:val="0"/>
          <w:i w:val="0"/>
          <w:iCs w:val="0"/>
          <w:color w:val="auto"/>
          <w:spacing w:val="-2"/>
          <w:sz w:val="32"/>
          <w:szCs w:val="32"/>
          <w:lang w:val="en-US" w:eastAsia="zh-CN" w:bidi="ar"/>
        </w:rPr>
      </w:pPr>
      <w:r>
        <w:rPr>
          <w:rFonts w:hint="eastAsia" w:ascii="仿宋_GB2312" w:hAnsi="仿宋_GB2312" w:eastAsia="仿宋_GB2312" w:cs="仿宋_GB2312"/>
          <w:b w:val="0"/>
          <w:bCs w:val="0"/>
          <w:color w:val="000000"/>
          <w:spacing w:val="-2"/>
          <w:kern w:val="0"/>
          <w:sz w:val="32"/>
          <w:szCs w:val="32"/>
          <w:lang w:val="en-US" w:eastAsia="zh-CN"/>
        </w:rPr>
        <w:t>图</w:t>
      </w:r>
      <w:r>
        <w:rPr>
          <w:rFonts w:hint="eastAsia" w:ascii="仿宋_GB2312" w:hAnsi="仿宋_GB2312" w:eastAsia="仿宋_GB2312" w:cs="仿宋_GB2312"/>
          <w:b w:val="0"/>
          <w:bCs w:val="0"/>
          <w:color w:val="auto"/>
          <w:spacing w:val="-2"/>
          <w:kern w:val="0"/>
          <w:sz w:val="32"/>
          <w:szCs w:val="32"/>
          <w:lang w:val="en-US" w:eastAsia="zh-CN"/>
        </w:rPr>
        <w:t>2</w:t>
      </w:r>
      <w:r>
        <w:rPr>
          <w:rFonts w:hint="eastAsia" w:ascii="仿宋_GB2312" w:hAnsi="仿宋_GB2312" w:eastAsia="仿宋_GB2312" w:cs="仿宋_GB2312"/>
          <w:b w:val="0"/>
          <w:bCs w:val="0"/>
          <w:color w:val="000000"/>
          <w:spacing w:val="-2"/>
          <w:kern w:val="0"/>
          <w:sz w:val="32"/>
          <w:szCs w:val="32"/>
          <w:lang w:val="en-US" w:eastAsia="zh-CN"/>
        </w:rPr>
        <w:t>：</w:t>
      </w:r>
      <w:r>
        <w:rPr>
          <w:rFonts w:hint="eastAsia" w:ascii="仿宋_GB2312" w:hAnsi="仿宋_GB2312" w:eastAsia="仿宋_GB2312" w:cs="仿宋_GB2312"/>
          <w:b w:val="0"/>
          <w:bCs w:val="0"/>
          <w:i w:val="0"/>
          <w:iCs w:val="0"/>
          <w:color w:val="auto"/>
          <w:spacing w:val="-2"/>
          <w:sz w:val="32"/>
          <w:szCs w:val="32"/>
          <w:lang w:val="en-US" w:eastAsia="zh-CN" w:bidi="ar"/>
        </w:rPr>
        <w:t>点击【数据提取】按钮获取关联附件</w:t>
      </w:r>
    </w:p>
    <w:p>
      <w:pPr>
        <w:keepNext w:val="0"/>
        <w:keepLines w:val="0"/>
        <w:pageBreakBefore w:val="0"/>
        <w:widowControl w:val="0"/>
        <w:kinsoku/>
        <w:wordWrap/>
        <w:overflowPunct/>
        <w:topLinePunct w:val="0"/>
        <w:autoSpaceDE/>
        <w:autoSpaceDN/>
        <w:bidi w:val="0"/>
        <w:adjustRightInd/>
        <w:snapToGrid/>
        <w:spacing w:after="0" w:line="588" w:lineRule="exact"/>
        <w:ind w:firstLine="634" w:firstLineChars="200"/>
        <w:textAlignment w:val="auto"/>
        <w:rPr>
          <w:rFonts w:hint="eastAsia" w:ascii="仿宋_GB2312" w:hAnsi="仿宋_GB2312" w:eastAsia="仿宋_GB2312" w:cs="仿宋_GB2312"/>
          <w:b/>
          <w:bCs/>
          <w:color w:val="000000"/>
          <w:spacing w:val="-2"/>
          <w:kern w:val="0"/>
          <w:sz w:val="32"/>
          <w:szCs w:val="32"/>
        </w:rPr>
      </w:pPr>
      <w:r>
        <w:rPr>
          <w:rFonts w:hint="eastAsia" w:ascii="仿宋_GB2312" w:hAnsi="仿宋_GB2312" w:eastAsia="仿宋_GB2312" w:cs="仿宋_GB2312"/>
          <w:b/>
          <w:bCs/>
          <w:color w:val="000000"/>
          <w:spacing w:val="-2"/>
          <w:kern w:val="0"/>
          <w:sz w:val="32"/>
          <w:szCs w:val="32"/>
          <w:lang w:val="en-US" w:eastAsia="zh-CN"/>
        </w:rPr>
        <w:t>10.各单位</w:t>
      </w:r>
      <w:r>
        <w:rPr>
          <w:rFonts w:hint="eastAsia" w:ascii="仿宋_GB2312" w:eastAsia="仿宋_GB2312"/>
          <w:b/>
          <w:bCs/>
          <w:sz w:val="32"/>
          <w:szCs w:val="32"/>
        </w:rPr>
        <w:t>如何确认主管部门</w:t>
      </w: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汇总单位</w:t>
      </w:r>
      <w:r>
        <w:rPr>
          <w:rFonts w:hint="eastAsia" w:ascii="仿宋_GB2312" w:eastAsia="仿宋_GB2312"/>
          <w:b/>
          <w:bCs/>
          <w:sz w:val="32"/>
          <w:szCs w:val="32"/>
          <w:lang w:eastAsia="zh-CN"/>
        </w:rPr>
        <w:t>）</w:t>
      </w:r>
      <w:r>
        <w:rPr>
          <w:rFonts w:hint="eastAsia" w:ascii="仿宋_GB2312" w:eastAsia="仿宋_GB2312"/>
          <w:b/>
          <w:bCs/>
          <w:sz w:val="32"/>
          <w:szCs w:val="32"/>
        </w:rPr>
        <w:t>是否</w:t>
      </w:r>
      <w:r>
        <w:rPr>
          <w:rFonts w:hint="eastAsia" w:ascii="仿宋_GB2312" w:eastAsia="仿宋_GB2312"/>
          <w:b/>
          <w:bCs/>
          <w:sz w:val="32"/>
          <w:szCs w:val="32"/>
          <w:lang w:val="en-US" w:eastAsia="zh-CN"/>
        </w:rPr>
        <w:t>已</w:t>
      </w:r>
      <w:r>
        <w:rPr>
          <w:rFonts w:hint="eastAsia" w:ascii="仿宋_GB2312" w:eastAsia="仿宋_GB2312"/>
          <w:b/>
          <w:bCs/>
          <w:sz w:val="32"/>
          <w:szCs w:val="32"/>
        </w:rPr>
        <w:t>完成</w:t>
      </w:r>
      <w:r>
        <w:rPr>
          <w:rFonts w:hint="eastAsia" w:ascii="仿宋_GB2312" w:eastAsia="仿宋_GB2312"/>
          <w:b/>
          <w:bCs/>
          <w:sz w:val="32"/>
          <w:szCs w:val="32"/>
          <w:lang w:val="en-US" w:eastAsia="zh-CN"/>
        </w:rPr>
        <w:t>对本单位评价报告的</w:t>
      </w:r>
      <w:r>
        <w:rPr>
          <w:rFonts w:hint="eastAsia" w:ascii="仿宋_GB2312" w:eastAsia="仿宋_GB2312"/>
          <w:b/>
          <w:bCs/>
          <w:sz w:val="32"/>
          <w:szCs w:val="32"/>
        </w:rPr>
        <w:t>复核</w:t>
      </w:r>
      <w:r>
        <w:rPr>
          <w:rFonts w:hint="eastAsia" w:ascii="仿宋_GB2312" w:eastAsia="仿宋_GB2312"/>
          <w:b/>
          <w:bCs/>
          <w:sz w:val="32"/>
          <w:szCs w:val="32"/>
          <w:lang w:val="en-US" w:eastAsia="zh-CN"/>
        </w:rPr>
        <w:t>工作</w:t>
      </w:r>
      <w:r>
        <w:rPr>
          <w:rFonts w:hint="eastAsia" w:ascii="仿宋_GB2312" w:eastAsia="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b w:val="0"/>
          <w:bCs w:val="0"/>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rPr>
        <w:t>答：</w:t>
      </w:r>
      <w:r>
        <w:rPr>
          <w:rFonts w:hint="eastAsia" w:ascii="仿宋_GB2312" w:hAnsi="仿宋_GB2312" w:eastAsia="仿宋_GB2312" w:cs="仿宋_GB2312"/>
          <w:color w:val="000000"/>
          <w:spacing w:val="-2"/>
          <w:kern w:val="0"/>
          <w:sz w:val="32"/>
          <w:szCs w:val="32"/>
          <w:lang w:val="en-US" w:eastAsia="zh-CN"/>
        </w:rPr>
        <w:t>主管部门（汇总单位）完成复核后，形成内部控制评价</w:t>
      </w:r>
      <w:r>
        <w:rPr>
          <w:rFonts w:hint="eastAsia" w:ascii="仿宋_GB2312" w:hAnsi="仿宋_GB2312" w:eastAsia="仿宋_GB2312" w:cs="仿宋_GB2312"/>
          <w:color w:val="000000"/>
          <w:spacing w:val="-2"/>
          <w:kern w:val="0"/>
          <w:sz w:val="32"/>
          <w:szCs w:val="32"/>
        </w:rPr>
        <w:t>复核意见</w:t>
      </w:r>
      <w:r>
        <w:rPr>
          <w:rFonts w:hint="eastAsia" w:ascii="仿宋_GB2312" w:hAnsi="仿宋_GB2312" w:eastAsia="仿宋_GB2312" w:cs="仿宋_GB2312"/>
          <w:color w:val="000000"/>
          <w:spacing w:val="-2"/>
          <w:kern w:val="0"/>
          <w:sz w:val="32"/>
          <w:szCs w:val="32"/>
          <w:lang w:val="en-US" w:eastAsia="zh-CN"/>
        </w:rPr>
        <w:t>并向单位反馈，单位内部控制评价报告的上报状态将更新为【已复核】。单位收到复核意见，即表明主管部门（汇总单位）已完成对本单位内部控制评价报告的复核工作。详见图3。</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b w:val="0"/>
          <w:bCs w:val="0"/>
          <w:color w:val="000000"/>
          <w:spacing w:val="-2"/>
          <w:kern w:val="0"/>
          <w:sz w:val="32"/>
          <w:szCs w:val="32"/>
          <w:lang w:val="en-US" w:eastAsia="zh-CN"/>
        </w:rPr>
      </w:pPr>
      <w:r>
        <w:drawing>
          <wp:inline distT="0" distB="0" distL="114300" distR="114300">
            <wp:extent cx="5264785" cy="2694940"/>
            <wp:effectExtent l="0" t="0" r="12065" b="10160"/>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9"/>
                    <a:stretch>
                      <a:fillRect/>
                    </a:stretch>
                  </pic:blipFill>
                  <pic:spPr>
                    <a:xfrm>
                      <a:off x="0" y="0"/>
                      <a:ext cx="5264785" cy="2694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eastAsia" w:ascii="仿宋_GB2312" w:hAnsi="仿宋_GB2312" w:eastAsia="仿宋_GB2312" w:cs="仿宋_GB2312"/>
          <w:b w:val="0"/>
          <w:bCs w:val="0"/>
          <w:color w:val="000000"/>
          <w:spacing w:val="-2"/>
          <w:kern w:val="0"/>
          <w:sz w:val="32"/>
          <w:szCs w:val="32"/>
          <w:lang w:val="en-US" w:eastAsia="zh-CN"/>
        </w:rPr>
      </w:pPr>
      <w:r>
        <w:rPr>
          <w:rFonts w:hint="eastAsia" w:ascii="仿宋_GB2312" w:hAnsi="仿宋_GB2312" w:eastAsia="仿宋_GB2312" w:cs="仿宋_GB2312"/>
          <w:b w:val="0"/>
          <w:bCs w:val="0"/>
          <w:color w:val="000000"/>
          <w:spacing w:val="-2"/>
          <w:kern w:val="0"/>
          <w:sz w:val="32"/>
          <w:szCs w:val="32"/>
          <w:lang w:val="en-US" w:eastAsia="zh-CN"/>
        </w:rPr>
        <w:t>图3：收到主管部门下发的复核意见</w:t>
      </w:r>
    </w:p>
    <w:p>
      <w:pPr>
        <w:keepNext w:val="0"/>
        <w:keepLines w:val="0"/>
        <w:pageBreakBefore w:val="0"/>
        <w:widowControl w:val="0"/>
        <w:kinsoku/>
        <w:wordWrap/>
        <w:overflowPunct/>
        <w:topLinePunct w:val="0"/>
        <w:autoSpaceDE/>
        <w:autoSpaceDN/>
        <w:bidi w:val="0"/>
        <w:adjustRightInd/>
        <w:snapToGrid/>
        <w:spacing w:after="0" w:line="588" w:lineRule="exact"/>
        <w:ind w:firstLine="634" w:firstLineChars="200"/>
        <w:textAlignment w:val="auto"/>
        <w:rPr>
          <w:rFonts w:hint="eastAsia" w:ascii="仿宋_GB2312" w:hAnsi="仿宋_GB2312" w:eastAsia="仿宋_GB2312" w:cs="仿宋_GB2312"/>
          <w:b/>
          <w:bCs/>
          <w:color w:val="000000"/>
          <w:spacing w:val="-2"/>
          <w:kern w:val="0"/>
          <w:sz w:val="32"/>
          <w:szCs w:val="32"/>
        </w:rPr>
      </w:pPr>
      <w:r>
        <w:rPr>
          <w:rFonts w:hint="eastAsia" w:ascii="仿宋_GB2312" w:hAnsi="仿宋_GB2312" w:eastAsia="仿宋_GB2312" w:cs="仿宋_GB2312"/>
          <w:b/>
          <w:bCs/>
          <w:color w:val="000000"/>
          <w:spacing w:val="-2"/>
          <w:kern w:val="0"/>
          <w:sz w:val="32"/>
          <w:szCs w:val="32"/>
          <w:lang w:val="en-US" w:eastAsia="zh-CN"/>
        </w:rPr>
        <w:t>11.如何上传内部控制报告的封面签章扫描件</w:t>
      </w:r>
      <w:r>
        <w:rPr>
          <w:rFonts w:hint="eastAsia" w:ascii="仿宋_GB2312" w:hAnsi="仿宋_GB2312" w:eastAsia="仿宋_GB2312" w:cs="仿宋_GB2312"/>
          <w:b/>
          <w:bCs/>
          <w:color w:val="000000"/>
          <w:spacing w:val="-2"/>
          <w:kern w:val="0"/>
          <w:sz w:val="32"/>
          <w:szCs w:val="32"/>
        </w:rPr>
        <w:t>？</w:t>
      </w:r>
    </w:p>
    <w:p>
      <w:pPr>
        <w:keepNext w:val="0"/>
        <w:keepLines w:val="0"/>
        <w:pageBreakBefore w:val="0"/>
        <w:widowControl w:val="0"/>
        <w:kinsoku/>
        <w:wordWrap/>
        <w:overflowPunct/>
        <w:topLinePunct w:val="0"/>
        <w:autoSpaceDE/>
        <w:autoSpaceDN/>
        <w:bidi w:val="0"/>
        <w:adjustRightInd/>
        <w:snapToGrid/>
        <w:spacing w:line="588" w:lineRule="exact"/>
        <w:ind w:firstLine="632" w:firstLineChars="200"/>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rPr>
        <w:t>答：</w:t>
      </w:r>
      <w:r>
        <w:rPr>
          <w:rFonts w:hint="eastAsia" w:ascii="仿宋_GB2312" w:hAnsi="仿宋_GB2312" w:eastAsia="仿宋_GB2312" w:cs="仿宋_GB2312"/>
          <w:color w:val="000000"/>
          <w:spacing w:val="-2"/>
          <w:kern w:val="0"/>
          <w:sz w:val="32"/>
          <w:szCs w:val="32"/>
          <w:lang w:val="en-US" w:eastAsia="zh-CN"/>
        </w:rPr>
        <w:t>各单位完成内部控制报告填报后，点击填报页面中的最后一个节点【单位内部控制报告】，点击右上角的【下载报告】按钮，下载word版的内部控制报告；线下履行内部审批程序后，在【基本信息】节点，上传内部控制报告封面的签章扫描件。详见图4、图5。</w:t>
      </w:r>
    </w:p>
    <w:p>
      <w:pPr>
        <w:keepNext w:val="0"/>
        <w:keepLines w:val="0"/>
        <w:pageBreakBefore w:val="0"/>
        <w:widowControl w:val="0"/>
        <w:kinsoku/>
        <w:wordWrap/>
        <w:overflowPunct/>
        <w:topLinePunct w:val="0"/>
        <w:autoSpaceDE/>
        <w:autoSpaceDN/>
        <w:bidi w:val="0"/>
        <w:adjustRightInd/>
        <w:snapToGrid/>
        <w:spacing w:line="279" w:lineRule="auto"/>
        <w:ind w:firstLine="0" w:firstLineChars="0"/>
        <w:textAlignment w:val="auto"/>
        <w:rPr>
          <w:rFonts w:hint="eastAsia" w:ascii="仿宋_GB2312" w:hAnsi="仿宋_GB2312" w:eastAsia="仿宋_GB2312" w:cs="仿宋_GB2312"/>
          <w:color w:val="000000"/>
          <w:spacing w:val="-2"/>
          <w:kern w:val="0"/>
          <w:sz w:val="32"/>
          <w:szCs w:val="32"/>
          <w:lang w:val="en-US" w:eastAsia="zh-CN"/>
        </w:rPr>
      </w:pPr>
      <w:r>
        <w:drawing>
          <wp:inline distT="0" distB="0" distL="114300" distR="114300">
            <wp:extent cx="5266055" cy="2461260"/>
            <wp:effectExtent l="0" t="0" r="10795" b="1524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0"/>
                    <a:stretch>
                      <a:fillRect/>
                    </a:stretch>
                  </pic:blipFill>
                  <pic:spPr>
                    <a:xfrm>
                      <a:off x="0" y="0"/>
                      <a:ext cx="5266055" cy="2461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val="en-US" w:eastAsia="zh-CN"/>
        </w:rPr>
        <w:t>图4：下载内部控制报告</w:t>
      </w:r>
    </w:p>
    <w:p>
      <w:pPr>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eastAsia" w:ascii="仿宋_GB2312" w:hAnsi="仿宋_GB2312" w:eastAsia="仿宋_GB2312" w:cs="仿宋_GB2312"/>
          <w:color w:val="000000"/>
          <w:spacing w:val="-2"/>
          <w:kern w:val="0"/>
          <w:sz w:val="32"/>
          <w:szCs w:val="32"/>
          <w:lang w:val="en-US" w:eastAsia="zh-CN"/>
        </w:rPr>
      </w:pPr>
      <w:r>
        <w:drawing>
          <wp:inline distT="0" distB="0" distL="114300" distR="114300">
            <wp:extent cx="5266055" cy="2046605"/>
            <wp:effectExtent l="0" t="0" r="10795" b="1079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1"/>
                    <a:stretch>
                      <a:fillRect/>
                    </a:stretch>
                  </pic:blipFill>
                  <pic:spPr>
                    <a:xfrm>
                      <a:off x="0" y="0"/>
                      <a:ext cx="5266055" cy="2046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val="en-US" w:eastAsia="zh-CN"/>
        </w:rPr>
        <w:t>图5：上传内部控制报告封面签章扫描件</w:t>
      </w:r>
    </w:p>
    <w:p>
      <w:pPr>
        <w:keepNext w:val="0"/>
        <w:keepLines w:val="0"/>
        <w:pageBreakBefore w:val="0"/>
        <w:widowControl w:val="0"/>
        <w:kinsoku/>
        <w:wordWrap/>
        <w:overflowPunct/>
        <w:topLinePunct w:val="0"/>
        <w:autoSpaceDE/>
        <w:autoSpaceDN/>
        <w:bidi w:val="0"/>
        <w:adjustRightInd/>
        <w:snapToGrid/>
        <w:spacing w:after="0" w:line="588" w:lineRule="exact"/>
        <w:ind w:firstLine="634" w:firstLineChars="200"/>
        <w:textAlignment w:val="auto"/>
        <w:rPr>
          <w:rFonts w:hint="eastAsia" w:ascii="仿宋_GB2312" w:hAnsi="仿宋_GB2312" w:eastAsia="仿宋_GB2312" w:cs="仿宋_GB2312"/>
          <w:b/>
          <w:bCs/>
          <w:color w:val="000000"/>
          <w:spacing w:val="-2"/>
          <w:kern w:val="0"/>
          <w:sz w:val="32"/>
          <w:szCs w:val="32"/>
        </w:rPr>
      </w:pPr>
      <w:r>
        <w:rPr>
          <w:rFonts w:hint="eastAsia" w:ascii="仿宋_GB2312" w:hAnsi="仿宋_GB2312" w:eastAsia="仿宋_GB2312" w:cs="仿宋_GB2312"/>
          <w:b/>
          <w:bCs/>
          <w:color w:val="000000"/>
          <w:spacing w:val="-2"/>
          <w:kern w:val="0"/>
          <w:sz w:val="32"/>
          <w:szCs w:val="32"/>
          <w:lang w:val="en-US" w:eastAsia="zh-CN"/>
        </w:rPr>
        <w:t>12.下级单位填报的数据变更后，上级单位如何获取新的汇总数据？</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rPr>
        <w:t>答：</w:t>
      </w:r>
      <w:r>
        <w:rPr>
          <w:rFonts w:hint="eastAsia" w:ascii="仿宋_GB2312" w:hAnsi="仿宋_GB2312" w:eastAsia="仿宋_GB2312" w:cs="仿宋_GB2312"/>
          <w:color w:val="000000"/>
          <w:spacing w:val="-2"/>
          <w:kern w:val="0"/>
          <w:sz w:val="32"/>
          <w:szCs w:val="32"/>
          <w:lang w:eastAsia="zh-CN"/>
        </w:rPr>
        <w:t>在内部控制评价阶段，因所属单位调整评价得分而导致部门评价中</w:t>
      </w:r>
      <w:r>
        <w:rPr>
          <w:rFonts w:hint="eastAsia" w:ascii="仿宋_GB2312" w:hAnsi="仿宋_GB2312" w:eastAsia="仿宋_GB2312" w:cs="仿宋_GB2312"/>
          <w:b w:val="0"/>
          <w:bCs w:val="0"/>
          <w:color w:val="000000"/>
          <w:spacing w:val="-2"/>
          <w:kern w:val="0"/>
          <w:sz w:val="32"/>
          <w:szCs w:val="32"/>
          <w:lang w:eastAsia="zh-CN"/>
        </w:rPr>
        <w:t>“部门本级及所属单位内部控制体系建立</w:t>
      </w:r>
      <w:r>
        <w:rPr>
          <w:rFonts w:hint="eastAsia" w:ascii="仿宋_GB2312" w:hAnsi="仿宋_GB2312" w:eastAsia="仿宋_GB2312" w:cs="仿宋_GB2312"/>
          <w:b w:val="0"/>
          <w:bCs w:val="0"/>
          <w:color w:val="000000"/>
          <w:spacing w:val="-2"/>
          <w:kern w:val="0"/>
          <w:sz w:val="32"/>
          <w:szCs w:val="32"/>
          <w:lang w:val="en-US" w:eastAsia="zh-CN"/>
        </w:rPr>
        <w:t>与实施情况</w:t>
      </w:r>
      <w:r>
        <w:rPr>
          <w:rFonts w:hint="eastAsia" w:ascii="仿宋_GB2312" w:hAnsi="仿宋_GB2312" w:eastAsia="仿宋_GB2312" w:cs="仿宋_GB2312"/>
          <w:b w:val="0"/>
          <w:bCs w:val="0"/>
          <w:color w:val="000000"/>
          <w:spacing w:val="-2"/>
          <w:kern w:val="0"/>
          <w:sz w:val="32"/>
          <w:szCs w:val="32"/>
          <w:lang w:eastAsia="zh-CN"/>
        </w:rPr>
        <w:t>”各项指标</w:t>
      </w:r>
      <w:r>
        <w:rPr>
          <w:rFonts w:hint="eastAsia" w:ascii="仿宋_GB2312" w:hAnsi="仿宋_GB2312" w:eastAsia="仿宋_GB2312" w:cs="仿宋_GB2312"/>
          <w:b w:val="0"/>
          <w:bCs w:val="0"/>
          <w:color w:val="000000"/>
          <w:spacing w:val="-2"/>
          <w:kern w:val="0"/>
          <w:sz w:val="32"/>
          <w:szCs w:val="32"/>
        </w:rPr>
        <w:t>分数</w:t>
      </w:r>
      <w:r>
        <w:rPr>
          <w:rFonts w:hint="eastAsia" w:ascii="仿宋_GB2312" w:hAnsi="仿宋_GB2312" w:eastAsia="仿宋_GB2312" w:cs="仿宋_GB2312"/>
          <w:b w:val="0"/>
          <w:bCs w:val="0"/>
          <w:color w:val="000000"/>
          <w:spacing w:val="-2"/>
          <w:kern w:val="0"/>
          <w:sz w:val="32"/>
          <w:szCs w:val="32"/>
          <w:lang w:eastAsia="zh-CN"/>
        </w:rPr>
        <w:t>与实际计算得分不一致，</w:t>
      </w:r>
      <w:r>
        <w:rPr>
          <w:rFonts w:hint="eastAsia" w:ascii="仿宋_GB2312" w:hAnsi="仿宋_GB2312" w:eastAsia="仿宋_GB2312" w:cs="仿宋_GB2312"/>
          <w:color w:val="000000"/>
          <w:spacing w:val="-2"/>
          <w:kern w:val="0"/>
          <w:sz w:val="32"/>
          <w:szCs w:val="32"/>
          <w:lang w:val="en-US" w:eastAsia="zh-CN"/>
        </w:rPr>
        <w:t>则需要部门（汇总单位）执行【数据汇总】的操作，更新部门评价指标得分。点击右上角【数据汇总】按钮，获取最新的部门评价计算指标得分。详见图6。</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eastAsia="zh-CN"/>
        </w:rPr>
        <w:t>在内部控制报告填报阶段，因</w:t>
      </w:r>
      <w:r>
        <w:rPr>
          <w:rFonts w:hint="eastAsia" w:ascii="仿宋_GB2312" w:hAnsi="仿宋_GB2312" w:eastAsia="仿宋_GB2312" w:cs="仿宋_GB2312"/>
          <w:color w:val="000000"/>
          <w:spacing w:val="-2"/>
          <w:kern w:val="0"/>
          <w:sz w:val="32"/>
          <w:szCs w:val="32"/>
          <w:lang w:val="en-US" w:eastAsia="zh-CN"/>
        </w:rPr>
        <w:t>所属单位调整内部控制报告数据</w:t>
      </w:r>
      <w:r>
        <w:rPr>
          <w:rFonts w:hint="eastAsia" w:ascii="仿宋_GB2312" w:hAnsi="仿宋_GB2312" w:eastAsia="仿宋_GB2312" w:cs="仿宋_GB2312"/>
          <w:color w:val="000000"/>
          <w:spacing w:val="-2"/>
          <w:kern w:val="0"/>
          <w:sz w:val="32"/>
          <w:szCs w:val="32"/>
          <w:lang w:eastAsia="zh-CN"/>
        </w:rPr>
        <w:t>而影响上级汇总单位数据变更的</w:t>
      </w:r>
      <w:r>
        <w:rPr>
          <w:rFonts w:hint="eastAsia" w:ascii="仿宋_GB2312" w:hAnsi="仿宋_GB2312" w:eastAsia="仿宋_GB2312" w:cs="仿宋_GB2312"/>
          <w:color w:val="000000"/>
          <w:spacing w:val="-2"/>
          <w:kern w:val="0"/>
          <w:sz w:val="32"/>
          <w:szCs w:val="32"/>
          <w:lang w:val="en-US" w:eastAsia="zh-CN"/>
        </w:rPr>
        <w:t>，财政部门或主管部门（汇总单位）可点击内部控制报告填报页面右上角的【数据汇总】按钮，重新获取汇总数据。详见图7。</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仿宋_GB2312" w:hAnsi="仿宋_GB2312" w:eastAsia="仿宋_GB2312" w:cs="仿宋_GB2312"/>
          <w:color w:val="000000"/>
          <w:spacing w:val="-2"/>
          <w:kern w:val="0"/>
          <w:sz w:val="32"/>
          <w:szCs w:val="32"/>
          <w:lang w:val="en-US" w:eastAsia="zh-CN"/>
        </w:rPr>
      </w:pPr>
      <w:r>
        <w:drawing>
          <wp:inline distT="0" distB="0" distL="114300" distR="114300">
            <wp:extent cx="5266055" cy="2469515"/>
            <wp:effectExtent l="0" t="0" r="10795" b="698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2"/>
                    <a:stretch>
                      <a:fillRect/>
                    </a:stretch>
                  </pic:blipFill>
                  <pic:spPr>
                    <a:xfrm>
                      <a:off x="0" y="0"/>
                      <a:ext cx="5266055" cy="2469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jc w:val="center"/>
        <w:textAlignment w:val="auto"/>
        <w:rPr>
          <w:rFonts w:hint="eastAsia" w:ascii="仿宋_GB2312" w:hAnsi="仿宋_GB2312" w:eastAsia="仿宋_GB2312" w:cs="仿宋_GB2312"/>
          <w:b w:val="0"/>
          <w:bCs w:val="0"/>
          <w:color w:val="000000"/>
          <w:spacing w:val="-2"/>
          <w:kern w:val="0"/>
          <w:sz w:val="32"/>
          <w:szCs w:val="32"/>
          <w:lang w:val="en-US" w:eastAsia="zh-CN"/>
        </w:rPr>
      </w:pPr>
      <w:r>
        <w:rPr>
          <w:rFonts w:hint="eastAsia" w:ascii="仿宋_GB2312" w:hAnsi="仿宋_GB2312" w:eastAsia="仿宋_GB2312" w:cs="仿宋_GB2312"/>
          <w:b w:val="0"/>
          <w:bCs w:val="0"/>
          <w:color w:val="000000"/>
          <w:spacing w:val="-2"/>
          <w:kern w:val="0"/>
          <w:sz w:val="32"/>
          <w:szCs w:val="32"/>
          <w:lang w:val="en-US" w:eastAsia="zh-CN"/>
        </w:rPr>
        <w:t>图6：执行【数据汇总】操作</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i w:val="0"/>
          <w:iCs w:val="0"/>
          <w:color w:val="FF0000"/>
          <w:spacing w:val="-2"/>
          <w:sz w:val="32"/>
          <w:szCs w:val="32"/>
          <w:lang w:val="en-US" w:eastAsia="zh-CN" w:bidi="ar"/>
        </w:rPr>
      </w:pPr>
      <w:r>
        <w:drawing>
          <wp:inline distT="0" distB="0" distL="114300" distR="114300">
            <wp:extent cx="5264785" cy="2579370"/>
            <wp:effectExtent l="0" t="0" r="12065" b="1143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13"/>
                    <a:stretch>
                      <a:fillRect/>
                    </a:stretch>
                  </pic:blipFill>
                  <pic:spPr>
                    <a:xfrm>
                      <a:off x="0" y="0"/>
                      <a:ext cx="5264785" cy="257937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eastAsia" w:ascii="仿宋_GB2312" w:hAnsi="仿宋_GB2312" w:eastAsia="仿宋_GB2312" w:cs="仿宋_GB2312"/>
          <w:i w:val="0"/>
          <w:iCs w:val="0"/>
          <w:color w:val="auto"/>
          <w:spacing w:val="-2"/>
          <w:sz w:val="32"/>
          <w:szCs w:val="32"/>
          <w:lang w:val="en-US" w:eastAsia="zh-CN" w:bidi="ar"/>
        </w:rPr>
      </w:pPr>
      <w:r>
        <w:rPr>
          <w:rFonts w:hint="eastAsia" w:ascii="仿宋_GB2312" w:hAnsi="仿宋_GB2312" w:eastAsia="仿宋_GB2312" w:cs="仿宋_GB2312"/>
          <w:i w:val="0"/>
          <w:iCs w:val="0"/>
          <w:color w:val="auto"/>
          <w:spacing w:val="-2"/>
          <w:sz w:val="32"/>
          <w:szCs w:val="32"/>
          <w:lang w:val="en-US" w:eastAsia="zh-CN" w:bidi="ar"/>
        </w:rPr>
        <w:t>图7：点击【数据汇总】按钮获取最新的汇总数据</w:t>
      </w:r>
    </w:p>
    <w:p>
      <w:pPr>
        <w:spacing w:after="0" w:line="588" w:lineRule="exact"/>
        <w:ind w:firstLine="634" w:firstLineChars="200"/>
        <w:rPr>
          <w:rFonts w:hint="eastAsia" w:ascii="仿宋_GB2312" w:hAnsi="仿宋_GB2312" w:eastAsia="仿宋_GB2312" w:cs="仿宋_GB2312"/>
          <w:b/>
          <w:bCs/>
          <w:color w:val="000000"/>
          <w:spacing w:val="-2"/>
          <w:sz w:val="32"/>
          <w:szCs w:val="32"/>
          <w:lang w:val="en" w:eastAsia="zh-CN"/>
        </w:rPr>
      </w:pPr>
      <w:r>
        <w:rPr>
          <w:rFonts w:hint="eastAsia" w:ascii="仿宋_GB2312" w:hAnsi="仿宋_GB2312" w:eastAsia="仿宋_GB2312" w:cs="仿宋_GB2312"/>
          <w:b/>
          <w:bCs/>
          <w:color w:val="000000"/>
          <w:spacing w:val="-2"/>
          <w:sz w:val="32"/>
          <w:szCs w:val="32"/>
          <w:lang w:val="en-US" w:eastAsia="zh-CN"/>
        </w:rPr>
        <w:t>13.单位上报内部控制评价报告后，如需修改填报数据，</w:t>
      </w:r>
      <w:r>
        <w:rPr>
          <w:rFonts w:hint="eastAsia" w:ascii="仿宋_GB2312" w:hAnsi="仿宋_GB2312" w:eastAsia="仿宋_GB2312" w:cs="仿宋_GB2312"/>
          <w:b/>
          <w:bCs/>
          <w:color w:val="000000"/>
          <w:spacing w:val="-2"/>
          <w:sz w:val="32"/>
          <w:szCs w:val="32"/>
          <w:lang w:val="en" w:eastAsia="zh-CN"/>
        </w:rPr>
        <w:t>如何</w:t>
      </w:r>
      <w:r>
        <w:rPr>
          <w:rFonts w:hint="default" w:ascii="仿宋_GB2312" w:hAnsi="仿宋_GB2312" w:eastAsia="仿宋_GB2312" w:cs="仿宋_GB2312"/>
          <w:b/>
          <w:bCs/>
          <w:color w:val="000000"/>
          <w:spacing w:val="-2"/>
          <w:sz w:val="32"/>
          <w:szCs w:val="32"/>
          <w:lang w:eastAsia="zh-CN"/>
        </w:rPr>
        <w:t>自行</w:t>
      </w:r>
      <w:r>
        <w:rPr>
          <w:rFonts w:hint="eastAsia" w:ascii="仿宋_GB2312" w:hAnsi="仿宋_GB2312" w:eastAsia="仿宋_GB2312" w:cs="仿宋_GB2312"/>
          <w:b/>
          <w:bCs/>
          <w:color w:val="000000"/>
          <w:spacing w:val="-2"/>
          <w:sz w:val="32"/>
          <w:szCs w:val="32"/>
          <w:lang w:val="en" w:eastAsia="zh-CN"/>
        </w:rPr>
        <w:t>取回</w:t>
      </w:r>
      <w:r>
        <w:rPr>
          <w:rFonts w:hint="eastAsia" w:ascii="仿宋_GB2312" w:hAnsi="仿宋_GB2312" w:eastAsia="仿宋_GB2312" w:cs="仿宋_GB2312"/>
          <w:b/>
          <w:bCs/>
          <w:color w:val="000000"/>
          <w:spacing w:val="-2"/>
          <w:sz w:val="32"/>
          <w:szCs w:val="32"/>
          <w:lang w:val="en-US" w:eastAsia="zh-CN"/>
        </w:rPr>
        <w:t>内部控制</w:t>
      </w:r>
      <w:r>
        <w:rPr>
          <w:rFonts w:hint="eastAsia" w:ascii="仿宋_GB2312" w:hAnsi="仿宋_GB2312" w:eastAsia="仿宋_GB2312" w:cs="仿宋_GB2312"/>
          <w:b/>
          <w:bCs/>
          <w:color w:val="000000"/>
          <w:spacing w:val="-2"/>
          <w:sz w:val="32"/>
          <w:szCs w:val="32"/>
          <w:lang w:val="en" w:eastAsia="zh-CN"/>
        </w:rPr>
        <w:t>评价报告？</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rPr>
        <w:t>答：</w:t>
      </w:r>
      <w:r>
        <w:rPr>
          <w:rFonts w:hint="eastAsia" w:ascii="仿宋_GB2312" w:hAnsi="仿宋_GB2312" w:eastAsia="仿宋_GB2312" w:cs="仿宋_GB2312"/>
          <w:color w:val="000000"/>
          <w:spacing w:val="-2"/>
          <w:kern w:val="0"/>
          <w:sz w:val="32"/>
          <w:szCs w:val="32"/>
          <w:lang w:val="en-US" w:eastAsia="zh-CN"/>
        </w:rPr>
        <w:t>单位上报内部控制评价报告后、主管部门（汇总单位）接收前，评价报告的上报状态为【待接收】，单位可自行取回评价报告；若评价报告已被主管部门（汇总单位）接收或复核，则无法再取回，需要由主管部门（汇总单位）退回。点击左侧的【内控评价填报】，点击操作列的【取回】按钮取回已上报的内部控制评价报告。详见图8。</w:t>
      </w:r>
    </w:p>
    <w:p>
      <w:pPr>
        <w:pStyle w:val="4"/>
        <w:rPr>
          <w:rFonts w:hint="eastAsia" w:ascii="仿宋_GB2312" w:hAnsi="仿宋_GB2312" w:eastAsia="仿宋_GB2312" w:cs="仿宋_GB2312"/>
          <w:color w:val="000000"/>
          <w:spacing w:val="-2"/>
          <w:kern w:val="0"/>
          <w:sz w:val="32"/>
          <w:szCs w:val="32"/>
          <w:lang w:val="en-US" w:eastAsia="zh-CN"/>
        </w:rPr>
      </w:pPr>
      <w:r>
        <w:drawing>
          <wp:inline distT="0" distB="0" distL="114300" distR="114300">
            <wp:extent cx="5266055" cy="1356995"/>
            <wp:effectExtent l="0" t="0" r="10795" b="1460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4"/>
                    <a:stretch>
                      <a:fillRect/>
                    </a:stretch>
                  </pic:blipFill>
                  <pic:spPr>
                    <a:xfrm>
                      <a:off x="0" y="0"/>
                      <a:ext cx="5266055" cy="1356995"/>
                    </a:xfrm>
                    <a:prstGeom prst="rect">
                      <a:avLst/>
                    </a:prstGeom>
                    <a:noFill/>
                    <a:ln>
                      <a:noFill/>
                    </a:ln>
                  </pic:spPr>
                </pic:pic>
              </a:graphicData>
            </a:graphic>
          </wp:inline>
        </w:drawing>
      </w:r>
    </w:p>
    <w:p>
      <w:pPr>
        <w:pStyle w:val="5"/>
        <w:ind w:firstLine="0" w:firstLineChars="0"/>
        <w:jc w:val="center"/>
        <w:rPr>
          <w:rFonts w:hint="eastAsia"/>
          <w:lang w:val="en-US" w:eastAsia="zh-CN"/>
        </w:rPr>
      </w:pPr>
      <w:r>
        <w:rPr>
          <w:rFonts w:hint="eastAsia" w:ascii="仿宋_GB2312" w:hAnsi="仿宋_GB2312" w:eastAsia="仿宋_GB2312" w:cs="仿宋_GB2312"/>
          <w:b w:val="0"/>
          <w:bCs w:val="0"/>
          <w:color w:val="000000"/>
          <w:spacing w:val="-2"/>
          <w:kern w:val="0"/>
          <w:sz w:val="32"/>
          <w:szCs w:val="32"/>
          <w:lang w:val="en-US" w:eastAsia="zh-CN"/>
        </w:rPr>
        <w:t>图8：取回单位内部控制评价报告</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val="en-US" w:eastAsia="zh-CN"/>
        </w:rPr>
        <w:t>主管部门将部门内部控制评价报告报送至同级政府财政部门后，在部门汇总内部控制报告未上报前，部门可自行取回内部控制评价报告;若部门汇总内部控制报告已上报，则部门无法再取回内部控制评价报告，须联系同级政府财政部门退回内部控制评价报告。点击左侧的【内控评价填报】，点击操作列的【取回】按钮取回已上报的内部控制评价报告。详见图9。</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仿宋_GB2312" w:hAnsi="仿宋_GB2312" w:eastAsia="仿宋_GB2312" w:cs="仿宋_GB2312"/>
          <w:color w:val="000000"/>
          <w:spacing w:val="-2"/>
          <w:kern w:val="0"/>
          <w:sz w:val="32"/>
          <w:szCs w:val="32"/>
          <w:lang w:val="en-US" w:eastAsia="zh-CN"/>
        </w:rPr>
      </w:pPr>
      <w:r>
        <w:drawing>
          <wp:inline distT="0" distB="0" distL="114300" distR="114300">
            <wp:extent cx="5270500" cy="1367790"/>
            <wp:effectExtent l="0" t="0" r="6350" b="3810"/>
            <wp:docPr id="1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true"/>
                    </pic:cNvPicPr>
                  </pic:nvPicPr>
                  <pic:blipFill>
                    <a:blip r:embed="rId15"/>
                    <a:stretch>
                      <a:fillRect/>
                    </a:stretch>
                  </pic:blipFill>
                  <pic:spPr>
                    <a:xfrm>
                      <a:off x="0" y="0"/>
                      <a:ext cx="5270500" cy="1367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val="en-US" w:eastAsia="zh-CN"/>
        </w:rPr>
        <w:t>图9：取回部门内部控制评价报告</w:t>
      </w:r>
    </w:p>
    <w:p>
      <w:pPr>
        <w:spacing w:after="0" w:line="588" w:lineRule="exact"/>
        <w:ind w:firstLine="634" w:firstLineChars="200"/>
        <w:rPr>
          <w:rFonts w:hint="eastAsia" w:ascii="仿宋_GB2312" w:hAnsi="仿宋_GB2312" w:eastAsia="仿宋_GB2312" w:cs="仿宋_GB2312"/>
          <w:b/>
          <w:bCs/>
          <w:color w:val="000000"/>
          <w:spacing w:val="-2"/>
          <w:kern w:val="0"/>
          <w:sz w:val="32"/>
          <w:szCs w:val="32"/>
          <w:lang w:val="en" w:eastAsia="zh-CN" w:bidi="ar-SA"/>
        </w:rPr>
      </w:pPr>
      <w:r>
        <w:rPr>
          <w:rFonts w:hint="eastAsia" w:ascii="仿宋_GB2312" w:hAnsi="仿宋_GB2312" w:eastAsia="仿宋_GB2312" w:cs="仿宋_GB2312"/>
          <w:b/>
          <w:bCs/>
          <w:color w:val="000000"/>
          <w:spacing w:val="-2"/>
          <w:kern w:val="0"/>
          <w:sz w:val="32"/>
          <w:szCs w:val="32"/>
          <w:lang w:val="en-US" w:eastAsia="zh-CN"/>
        </w:rPr>
        <w:t>14.上级单位</w:t>
      </w:r>
      <w:r>
        <w:rPr>
          <w:rFonts w:hint="eastAsia" w:ascii="仿宋_GB2312" w:hAnsi="仿宋_GB2312" w:eastAsia="仿宋_GB2312" w:cs="仿宋_GB2312"/>
          <w:b/>
          <w:bCs/>
          <w:color w:val="000000"/>
          <w:spacing w:val="-2"/>
          <w:sz w:val="32"/>
          <w:szCs w:val="32"/>
          <w:lang w:val="en"/>
        </w:rPr>
        <w:t>退回</w:t>
      </w:r>
      <w:r>
        <w:rPr>
          <w:rFonts w:hint="eastAsia" w:ascii="仿宋_GB2312" w:hAnsi="仿宋_GB2312" w:eastAsia="仿宋_GB2312" w:cs="仿宋_GB2312"/>
          <w:b/>
          <w:bCs/>
          <w:color w:val="000000"/>
          <w:spacing w:val="-2"/>
          <w:sz w:val="32"/>
          <w:szCs w:val="32"/>
          <w:lang w:val="en-US" w:eastAsia="zh-CN"/>
        </w:rPr>
        <w:t>直接下级</w:t>
      </w:r>
      <w:r>
        <w:rPr>
          <w:rFonts w:hint="eastAsia" w:ascii="仿宋_GB2312" w:hAnsi="仿宋_GB2312" w:eastAsia="仿宋_GB2312" w:cs="仿宋_GB2312"/>
          <w:b/>
          <w:bCs/>
          <w:color w:val="000000"/>
          <w:spacing w:val="-2"/>
          <w:sz w:val="32"/>
          <w:szCs w:val="32"/>
          <w:lang w:val="en" w:eastAsia="zh-CN"/>
        </w:rPr>
        <w:t>单位</w:t>
      </w:r>
      <w:r>
        <w:rPr>
          <w:rFonts w:hint="eastAsia" w:ascii="仿宋_GB2312" w:hAnsi="仿宋_GB2312" w:eastAsia="仿宋_GB2312" w:cs="仿宋_GB2312"/>
          <w:b/>
          <w:bCs/>
          <w:color w:val="000000"/>
          <w:spacing w:val="-2"/>
          <w:sz w:val="32"/>
          <w:szCs w:val="32"/>
          <w:lang w:val="en-US" w:eastAsia="zh-CN"/>
        </w:rPr>
        <w:t>内部控制</w:t>
      </w:r>
      <w:r>
        <w:rPr>
          <w:rFonts w:hint="eastAsia" w:ascii="仿宋_GB2312" w:hAnsi="仿宋_GB2312" w:eastAsia="仿宋_GB2312" w:cs="仿宋_GB2312"/>
          <w:b/>
          <w:bCs/>
          <w:color w:val="000000"/>
          <w:spacing w:val="-2"/>
          <w:sz w:val="32"/>
          <w:szCs w:val="32"/>
          <w:lang w:val="en"/>
        </w:rPr>
        <w:t>报告时</w:t>
      </w:r>
      <w:r>
        <w:rPr>
          <w:rFonts w:hint="default" w:ascii="仿宋_GB2312" w:hAnsi="仿宋_GB2312" w:eastAsia="仿宋_GB2312" w:cs="仿宋_GB2312"/>
          <w:b/>
          <w:bCs/>
          <w:color w:val="000000"/>
          <w:spacing w:val="-2"/>
          <w:sz w:val="32"/>
          <w:szCs w:val="32"/>
        </w:rPr>
        <w:t>，</w:t>
      </w:r>
      <w:r>
        <w:rPr>
          <w:rFonts w:hint="eastAsia" w:ascii="仿宋_GB2312" w:hAnsi="仿宋_GB2312" w:eastAsia="仿宋_GB2312" w:cs="仿宋_GB2312"/>
          <w:b/>
          <w:bCs/>
          <w:color w:val="000000"/>
          <w:spacing w:val="-2"/>
          <w:sz w:val="32"/>
          <w:szCs w:val="32"/>
          <w:lang w:val="en-US" w:eastAsia="zh-CN"/>
        </w:rPr>
        <w:t>是否支持</w:t>
      </w:r>
      <w:r>
        <w:rPr>
          <w:rFonts w:hint="eastAsia" w:ascii="仿宋_GB2312" w:hAnsi="仿宋_GB2312" w:eastAsia="仿宋_GB2312" w:cs="仿宋_GB2312"/>
          <w:b/>
          <w:bCs/>
          <w:color w:val="000000"/>
          <w:spacing w:val="-2"/>
          <w:sz w:val="32"/>
          <w:szCs w:val="32"/>
          <w:lang w:val="en"/>
        </w:rPr>
        <w:t>填写退回原因</w:t>
      </w:r>
      <w:r>
        <w:rPr>
          <w:rFonts w:hint="eastAsia" w:ascii="仿宋_GB2312" w:hAnsi="仿宋_GB2312" w:eastAsia="仿宋_GB2312" w:cs="仿宋_GB2312"/>
          <w:b/>
          <w:bCs/>
          <w:color w:val="000000"/>
          <w:spacing w:val="-2"/>
          <w:kern w:val="0"/>
          <w:sz w:val="32"/>
          <w:szCs w:val="32"/>
          <w:lang w:val="en" w:eastAsia="zh-CN" w:bidi="ar-SA"/>
        </w:rPr>
        <w:t>？</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default" w:ascii="仿宋_GB2312" w:hAnsi="仿宋_GB2312" w:eastAsia="仿宋_GB2312" w:cs="仿宋_GB2312"/>
          <w:b/>
          <w:bCs/>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rPr>
        <w:t>答：</w:t>
      </w:r>
      <w:r>
        <w:rPr>
          <w:rFonts w:hint="eastAsia" w:ascii="仿宋_GB2312" w:hAnsi="仿宋_GB2312" w:eastAsia="仿宋_GB2312" w:cs="仿宋_GB2312"/>
          <w:color w:val="000000"/>
          <w:spacing w:val="-2"/>
          <w:kern w:val="0"/>
          <w:sz w:val="32"/>
          <w:szCs w:val="32"/>
          <w:lang w:val="en-US" w:eastAsia="zh-CN"/>
        </w:rPr>
        <w:t>系统</w:t>
      </w:r>
      <w:r>
        <w:rPr>
          <w:rFonts w:hint="default" w:ascii="仿宋_GB2312" w:hAnsi="仿宋_GB2312" w:eastAsia="仿宋_GB2312" w:cs="仿宋_GB2312"/>
          <w:color w:val="000000"/>
          <w:spacing w:val="-2"/>
          <w:kern w:val="0"/>
          <w:sz w:val="32"/>
          <w:szCs w:val="32"/>
          <w:lang w:eastAsia="zh-CN"/>
        </w:rPr>
        <w:t>支持</w:t>
      </w:r>
      <w:r>
        <w:rPr>
          <w:rFonts w:hint="eastAsia" w:ascii="仿宋_GB2312" w:hAnsi="仿宋_GB2312" w:eastAsia="仿宋_GB2312" w:cs="仿宋_GB2312"/>
          <w:color w:val="000000"/>
          <w:spacing w:val="-2"/>
          <w:kern w:val="0"/>
          <w:sz w:val="32"/>
          <w:szCs w:val="32"/>
          <w:lang w:val="en-US" w:eastAsia="zh-CN"/>
        </w:rPr>
        <w:t>上级单位退回直接下级</w:t>
      </w:r>
      <w:r>
        <w:rPr>
          <w:rFonts w:hint="default" w:ascii="仿宋_GB2312" w:hAnsi="仿宋_GB2312" w:eastAsia="仿宋_GB2312" w:cs="仿宋_GB2312"/>
          <w:color w:val="000000"/>
          <w:spacing w:val="-2"/>
          <w:kern w:val="0"/>
          <w:sz w:val="32"/>
          <w:szCs w:val="32"/>
          <w:lang w:eastAsia="zh-CN"/>
        </w:rPr>
        <w:t>单位</w:t>
      </w:r>
      <w:r>
        <w:rPr>
          <w:rFonts w:hint="eastAsia" w:ascii="仿宋_GB2312" w:hAnsi="仿宋_GB2312" w:eastAsia="仿宋_GB2312" w:cs="仿宋_GB2312"/>
          <w:color w:val="000000"/>
          <w:spacing w:val="-2"/>
          <w:kern w:val="0"/>
          <w:sz w:val="32"/>
          <w:szCs w:val="32"/>
          <w:lang w:val="en-US" w:eastAsia="zh-CN"/>
        </w:rPr>
        <w:t>内部控制报告时填写退回原因，被退回的单位也可查看退回原因</w:t>
      </w:r>
      <w:r>
        <w:rPr>
          <w:rFonts w:hint="eastAsia" w:ascii="仿宋_GB2312" w:hAnsi="仿宋_GB2312" w:eastAsia="仿宋_GB2312" w:cs="仿宋_GB2312"/>
          <w:color w:val="000000"/>
          <w:spacing w:val="-2"/>
          <w:kern w:val="0"/>
          <w:sz w:val="32"/>
          <w:szCs w:val="32"/>
          <w:lang w:eastAsia="zh-CN"/>
        </w:rPr>
        <w:t>。</w:t>
      </w:r>
      <w:r>
        <w:rPr>
          <w:rFonts w:hint="eastAsia" w:ascii="仿宋_GB2312" w:hAnsi="仿宋_GB2312" w:eastAsia="仿宋_GB2312" w:cs="仿宋_GB2312"/>
          <w:color w:val="000000"/>
          <w:spacing w:val="-2"/>
          <w:kern w:val="0"/>
          <w:sz w:val="32"/>
          <w:szCs w:val="32"/>
          <w:lang w:val="en-US" w:eastAsia="zh-CN"/>
        </w:rPr>
        <w:t>点击报送纵览操作列中的【退回】按钮时，系统弹出退回窗口，可填写退回原因。详见图10。</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仿宋_GB2312" w:hAnsi="仿宋_GB2312" w:eastAsia="仿宋_GB2312" w:cs="仿宋_GB2312"/>
          <w:b/>
          <w:bCs/>
          <w:color w:val="000000"/>
          <w:spacing w:val="-2"/>
          <w:kern w:val="0"/>
          <w:sz w:val="32"/>
          <w:szCs w:val="32"/>
          <w:lang w:val="en-US" w:eastAsia="zh-CN"/>
        </w:rPr>
      </w:pPr>
      <w:r>
        <w:drawing>
          <wp:inline distT="0" distB="0" distL="114300" distR="114300">
            <wp:extent cx="5264785" cy="2669540"/>
            <wp:effectExtent l="0" t="0" r="12065" b="16510"/>
            <wp:docPr id="1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true"/>
                    </pic:cNvPicPr>
                  </pic:nvPicPr>
                  <pic:blipFill>
                    <a:blip r:embed="rId16"/>
                    <a:stretch>
                      <a:fillRect/>
                    </a:stretch>
                  </pic:blipFill>
                  <pic:spPr>
                    <a:xfrm>
                      <a:off x="0" y="0"/>
                      <a:ext cx="5264785" cy="26695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eastAsia" w:ascii="仿宋_GB2312" w:hAnsi="仿宋_GB2312" w:eastAsia="仿宋_GB2312" w:cs="仿宋_GB2312"/>
          <w:b w:val="0"/>
          <w:bCs w:val="0"/>
          <w:color w:val="000000"/>
          <w:spacing w:val="-2"/>
          <w:kern w:val="0"/>
          <w:sz w:val="32"/>
          <w:szCs w:val="32"/>
          <w:lang w:val="en-US" w:eastAsia="zh-CN"/>
        </w:rPr>
      </w:pPr>
      <w:r>
        <w:rPr>
          <w:rFonts w:hint="eastAsia" w:ascii="仿宋_GB2312" w:hAnsi="仿宋_GB2312" w:eastAsia="仿宋_GB2312" w:cs="仿宋_GB2312"/>
          <w:b w:val="0"/>
          <w:bCs w:val="0"/>
          <w:color w:val="000000"/>
          <w:spacing w:val="-2"/>
          <w:kern w:val="0"/>
          <w:sz w:val="32"/>
          <w:szCs w:val="32"/>
          <w:lang w:val="en-US" w:eastAsia="zh-CN"/>
        </w:rPr>
        <w:t>图10：填写退回原因</w:t>
      </w:r>
    </w:p>
    <w:p>
      <w:pPr>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b w:val="0"/>
          <w:bCs w:val="0"/>
          <w:color w:val="000000"/>
          <w:spacing w:val="-2"/>
          <w:kern w:val="0"/>
          <w:sz w:val="32"/>
          <w:szCs w:val="32"/>
          <w:lang w:val="en-US" w:eastAsia="zh-CN"/>
        </w:rPr>
      </w:pPr>
      <w:r>
        <w:rPr>
          <w:rFonts w:hint="eastAsia" w:ascii="仿宋_GB2312" w:hAnsi="仿宋_GB2312" w:eastAsia="仿宋_GB2312" w:cs="仿宋_GB2312"/>
          <w:b w:val="0"/>
          <w:bCs w:val="0"/>
          <w:color w:val="000000"/>
          <w:spacing w:val="-2"/>
          <w:kern w:val="0"/>
          <w:sz w:val="32"/>
          <w:szCs w:val="32"/>
          <w:lang w:val="en-US" w:eastAsia="zh-CN"/>
        </w:rPr>
        <w:t>被退回单位可点击左侧【内控报告填报】功能，点击操作列的【查看退回原因】，可以查看退回记录和退回原因。</w:t>
      </w:r>
      <w:r>
        <w:rPr>
          <w:rFonts w:hint="eastAsia" w:ascii="仿宋_GB2312" w:hAnsi="仿宋_GB2312" w:eastAsia="仿宋_GB2312" w:cs="仿宋_GB2312"/>
          <w:color w:val="000000"/>
          <w:spacing w:val="-2"/>
          <w:kern w:val="0"/>
          <w:sz w:val="32"/>
          <w:szCs w:val="32"/>
          <w:lang w:val="en-US" w:eastAsia="zh-CN"/>
        </w:rPr>
        <w:t>详见图11。</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仿宋_GB2312" w:hAnsi="仿宋_GB2312" w:eastAsia="仿宋_GB2312" w:cs="仿宋_GB2312"/>
          <w:b/>
          <w:bCs/>
          <w:color w:val="000000"/>
          <w:spacing w:val="-2"/>
          <w:kern w:val="0"/>
          <w:sz w:val="32"/>
          <w:szCs w:val="32"/>
          <w:lang w:val="en-US" w:eastAsia="zh-CN"/>
        </w:rPr>
      </w:pPr>
      <w:r>
        <w:drawing>
          <wp:inline distT="0" distB="0" distL="114300" distR="114300">
            <wp:extent cx="5264785" cy="1299210"/>
            <wp:effectExtent l="0" t="0" r="12065" b="15240"/>
            <wp:docPr id="1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true"/>
                    </pic:cNvPicPr>
                  </pic:nvPicPr>
                  <pic:blipFill>
                    <a:blip r:embed="rId17"/>
                    <a:stretch>
                      <a:fillRect/>
                    </a:stretch>
                  </pic:blipFill>
                  <pic:spPr>
                    <a:xfrm>
                      <a:off x="0" y="0"/>
                      <a:ext cx="5264785" cy="1299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eastAsia" w:ascii="仿宋_GB2312" w:hAnsi="仿宋_GB2312" w:eastAsia="仿宋_GB2312" w:cs="仿宋_GB2312"/>
          <w:b w:val="0"/>
          <w:bCs w:val="0"/>
          <w:color w:val="000000"/>
          <w:spacing w:val="-2"/>
          <w:kern w:val="0"/>
          <w:sz w:val="32"/>
          <w:szCs w:val="32"/>
          <w:lang w:val="en-US" w:eastAsia="zh-CN"/>
        </w:rPr>
      </w:pPr>
      <w:r>
        <w:rPr>
          <w:rFonts w:hint="eastAsia" w:ascii="仿宋_GB2312" w:hAnsi="仿宋_GB2312" w:eastAsia="仿宋_GB2312" w:cs="仿宋_GB2312"/>
          <w:b w:val="0"/>
          <w:bCs w:val="0"/>
          <w:color w:val="000000"/>
          <w:spacing w:val="-2"/>
          <w:kern w:val="0"/>
          <w:sz w:val="32"/>
          <w:szCs w:val="32"/>
          <w:lang w:val="en-US" w:eastAsia="zh-CN"/>
        </w:rPr>
        <w:t>图11：被退回单位查看退回原因</w:t>
      </w:r>
    </w:p>
    <w:p>
      <w:pPr>
        <w:keepNext w:val="0"/>
        <w:keepLines w:val="0"/>
        <w:pageBreakBefore w:val="0"/>
        <w:widowControl w:val="0"/>
        <w:kinsoku/>
        <w:wordWrap/>
        <w:overflowPunct/>
        <w:topLinePunct w:val="0"/>
        <w:autoSpaceDE/>
        <w:autoSpaceDN/>
        <w:bidi w:val="0"/>
        <w:adjustRightInd/>
        <w:snapToGrid/>
        <w:spacing w:after="0" w:line="588" w:lineRule="exact"/>
        <w:ind w:firstLine="634" w:firstLineChars="200"/>
        <w:textAlignment w:val="auto"/>
        <w:rPr>
          <w:rFonts w:hint="eastAsia" w:ascii="仿宋_GB2312" w:hAnsi="仿宋_GB2312" w:eastAsia="仿宋_GB2312" w:cs="仿宋_GB2312"/>
          <w:b/>
          <w:bCs/>
          <w:color w:val="000000"/>
          <w:spacing w:val="-2"/>
          <w:kern w:val="0"/>
          <w:sz w:val="32"/>
          <w:szCs w:val="32"/>
          <w:lang w:val="en-US" w:eastAsia="zh-CN"/>
        </w:rPr>
      </w:pPr>
      <w:r>
        <w:rPr>
          <w:rFonts w:hint="eastAsia" w:ascii="仿宋_GB2312" w:hAnsi="仿宋_GB2312" w:eastAsia="仿宋_GB2312" w:cs="仿宋_GB2312"/>
          <w:b/>
          <w:bCs/>
          <w:color w:val="000000"/>
          <w:spacing w:val="-2"/>
          <w:kern w:val="0"/>
          <w:sz w:val="32"/>
          <w:szCs w:val="32"/>
          <w:lang w:val="en-US" w:eastAsia="zh-CN"/>
        </w:rPr>
        <w:t>15.财政部门或主管部门如何掌握所属单位内部控制报告的</w:t>
      </w:r>
      <w:r>
        <w:rPr>
          <w:rFonts w:hint="eastAsia" w:ascii="仿宋_GB2312" w:hAnsi="仿宋_GB2312" w:eastAsia="仿宋_GB2312" w:cs="仿宋_GB2312"/>
          <w:b/>
          <w:bCs/>
          <w:color w:val="000000"/>
          <w:spacing w:val="-2"/>
          <w:kern w:val="0"/>
          <w:sz w:val="32"/>
          <w:szCs w:val="32"/>
        </w:rPr>
        <w:t>审核状态？</w:t>
      </w:r>
    </w:p>
    <w:p>
      <w:pPr>
        <w:keepNext w:val="0"/>
        <w:keepLines w:val="0"/>
        <w:pageBreakBefore w:val="0"/>
        <w:widowControl w:val="0"/>
        <w:kinsoku/>
        <w:wordWrap/>
        <w:overflowPunct/>
        <w:topLinePunct w:val="0"/>
        <w:autoSpaceDE/>
        <w:autoSpaceDN/>
        <w:bidi w:val="0"/>
        <w:adjustRightInd/>
        <w:snapToGrid/>
        <w:spacing w:line="588" w:lineRule="exact"/>
        <w:ind w:firstLine="632" w:firstLineChars="200"/>
        <w:textAlignment w:val="auto"/>
        <w:rPr>
          <w:rFonts w:hint="default"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rPr>
        <w:t>答：</w:t>
      </w:r>
      <w:r>
        <w:rPr>
          <w:rFonts w:hint="eastAsia" w:ascii="仿宋_GB2312" w:hAnsi="仿宋_GB2312" w:eastAsia="仿宋_GB2312" w:cs="仿宋_GB2312"/>
          <w:color w:val="000000"/>
          <w:spacing w:val="-2"/>
          <w:kern w:val="0"/>
          <w:sz w:val="32"/>
          <w:szCs w:val="32"/>
          <w:lang w:val="en-US" w:eastAsia="zh-CN"/>
        </w:rPr>
        <w:t>系统支持财政部门、主管部门标记内部控制报告的审核状态。点击左侧【下级报送纵览】-【内控报告报送纵览】，在报送纵览表中的标记列中，可对已审核单位选择相应颜色的标记符逐个进行标记。详见图12。</w:t>
      </w:r>
    </w:p>
    <w:p>
      <w:pPr>
        <w:spacing w:line="240" w:lineRule="auto"/>
        <w:ind w:firstLine="0" w:firstLineChars="0"/>
        <w:jc w:val="center"/>
        <w:rPr>
          <w:rFonts w:hint="eastAsia" w:ascii="仿宋_GB2312" w:hAnsi="仿宋_GB2312" w:eastAsia="仿宋_GB2312" w:cs="仿宋_GB2312"/>
          <w:color w:val="000000"/>
          <w:spacing w:val="-2"/>
          <w:kern w:val="0"/>
          <w:sz w:val="32"/>
          <w:szCs w:val="32"/>
          <w:lang w:val="en-US" w:eastAsia="zh-CN"/>
        </w:rPr>
      </w:pPr>
      <w:r>
        <w:drawing>
          <wp:inline distT="0" distB="0" distL="114300" distR="114300">
            <wp:extent cx="5264785" cy="1612265"/>
            <wp:effectExtent l="0" t="0" r="12065" b="6985"/>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18"/>
                    <a:stretch>
                      <a:fillRect/>
                    </a:stretch>
                  </pic:blipFill>
                  <pic:spPr>
                    <a:xfrm>
                      <a:off x="0" y="0"/>
                      <a:ext cx="5264785" cy="161226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0" w:firstLineChars="0"/>
        <w:jc w:val="center"/>
        <w:textAlignment w:val="auto"/>
        <w:rPr>
          <w:rFonts w:hint="eastAsia" w:ascii="仿宋_GB2312" w:hAnsi="仿宋_GB2312" w:eastAsia="仿宋_GB2312" w:cs="仿宋_GB2312"/>
          <w:color w:val="000000"/>
          <w:spacing w:val="-2"/>
          <w:kern w:val="0"/>
          <w:sz w:val="32"/>
          <w:szCs w:val="32"/>
          <w:lang w:val="en-US" w:eastAsia="zh-CN"/>
        </w:rPr>
      </w:pPr>
      <w:r>
        <w:rPr>
          <w:rFonts w:hint="eastAsia" w:ascii="仿宋_GB2312" w:hAnsi="仿宋_GB2312" w:eastAsia="仿宋_GB2312" w:cs="仿宋_GB2312"/>
          <w:color w:val="000000"/>
          <w:spacing w:val="-2"/>
          <w:kern w:val="0"/>
          <w:sz w:val="32"/>
          <w:szCs w:val="32"/>
          <w:lang w:val="en-US" w:eastAsia="zh-CN"/>
        </w:rPr>
        <w:t>图12：内部控制报告审核状态标记</w:t>
      </w:r>
    </w:p>
    <w:p>
      <w:pPr>
        <w:pStyle w:val="5"/>
        <w:keepNext w:val="0"/>
        <w:keepLines w:val="0"/>
        <w:pageBreakBefore w:val="0"/>
        <w:widowControl w:val="0"/>
        <w:kinsoku/>
        <w:wordWrap/>
        <w:overflowPunct/>
        <w:topLinePunct w:val="0"/>
        <w:autoSpaceDE/>
        <w:autoSpaceDN/>
        <w:bidi w:val="0"/>
        <w:adjustRightInd/>
        <w:snapToGrid/>
        <w:spacing w:after="0" w:line="588" w:lineRule="exact"/>
        <w:ind w:firstLine="632" w:firstLineChars="200"/>
        <w:textAlignment w:val="auto"/>
        <w:rPr>
          <w:rFonts w:hint="eastAsia" w:ascii="仿宋_GB2312" w:hAnsi="仿宋_GB2312" w:eastAsia="仿宋_GB2312" w:cs="仿宋_GB2312"/>
          <w:i w:val="0"/>
          <w:iCs w:val="0"/>
          <w:color w:val="FF0000"/>
          <w:spacing w:val="-2"/>
          <w:sz w:val="32"/>
          <w:szCs w:val="32"/>
          <w:lang w:val="en" w:eastAsia="zh-CN" w:bidi="ar"/>
        </w:rPr>
      </w:pPr>
    </w:p>
    <w:sectPr>
      <w:footerReference r:id="rId5"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Cambria Math">
    <w:altName w:val="DejaVu Math TeX Gyre"/>
    <w:panose1 w:val="02040503050406030204"/>
    <w:charset w:val="00"/>
    <w:family w:val="auto"/>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MS Mincho">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OqXm5zwAAAAUBAAAPAAAAAAAAAAEAIAAAADgAAABkcnMvZG93bnJldi54bWxQSwECFAAUAAAA&#10;CACHTuJAVDuIW6gBAABCAwAADgAAAAAAAAABACAAAAA0AQAAZHJzL2Uyb0RvYy54bWxQSwUGAAAA&#10;AAYABgBZAQAATgUAAAAA&#10;">
              <v:fill on="f" focussize="0,0"/>
              <v:stroke on="f"/>
              <v:imagedata o:title=""/>
              <o:lock v:ext="edit" aspectratio="f"/>
              <v:textbox inset="0mm,0mm,0mm,0mm" style="mso-fit-shape-to-text:t;">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true"/>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FFA6972"/>
    <w:rsid w:val="00183C7C"/>
    <w:rsid w:val="001A5741"/>
    <w:rsid w:val="001D03DC"/>
    <w:rsid w:val="002025A9"/>
    <w:rsid w:val="002B42CE"/>
    <w:rsid w:val="003070AB"/>
    <w:rsid w:val="00385A6C"/>
    <w:rsid w:val="006731B8"/>
    <w:rsid w:val="006F0636"/>
    <w:rsid w:val="007637E0"/>
    <w:rsid w:val="007850F8"/>
    <w:rsid w:val="00817B6E"/>
    <w:rsid w:val="009B66C0"/>
    <w:rsid w:val="009E1AF3"/>
    <w:rsid w:val="00A34B5B"/>
    <w:rsid w:val="00AC0973"/>
    <w:rsid w:val="00AF7097"/>
    <w:rsid w:val="00AF7929"/>
    <w:rsid w:val="00BE7C2A"/>
    <w:rsid w:val="00C33E27"/>
    <w:rsid w:val="00C667DF"/>
    <w:rsid w:val="00C74226"/>
    <w:rsid w:val="00CA6BE2"/>
    <w:rsid w:val="00D04E96"/>
    <w:rsid w:val="00D70C1D"/>
    <w:rsid w:val="00DD206D"/>
    <w:rsid w:val="00DE473B"/>
    <w:rsid w:val="00DF0B09"/>
    <w:rsid w:val="00E25BC3"/>
    <w:rsid w:val="00E632E2"/>
    <w:rsid w:val="00E7222F"/>
    <w:rsid w:val="00FA4A2F"/>
    <w:rsid w:val="00FB3469"/>
    <w:rsid w:val="00FC6D26"/>
    <w:rsid w:val="00FF0633"/>
    <w:rsid w:val="028A203B"/>
    <w:rsid w:val="048107C4"/>
    <w:rsid w:val="04A7DF79"/>
    <w:rsid w:val="05942874"/>
    <w:rsid w:val="06A622F0"/>
    <w:rsid w:val="086C5D2B"/>
    <w:rsid w:val="09FF499A"/>
    <w:rsid w:val="0A282593"/>
    <w:rsid w:val="0A380ADE"/>
    <w:rsid w:val="0D2C7D85"/>
    <w:rsid w:val="13451652"/>
    <w:rsid w:val="136C4E31"/>
    <w:rsid w:val="15047E89"/>
    <w:rsid w:val="1665785E"/>
    <w:rsid w:val="18556639"/>
    <w:rsid w:val="1A405D1C"/>
    <w:rsid w:val="1B78707B"/>
    <w:rsid w:val="1BBE1FA1"/>
    <w:rsid w:val="1EF77CBB"/>
    <w:rsid w:val="1F183172"/>
    <w:rsid w:val="21245E53"/>
    <w:rsid w:val="216830DB"/>
    <w:rsid w:val="271C390E"/>
    <w:rsid w:val="27B7B92F"/>
    <w:rsid w:val="28D40D5D"/>
    <w:rsid w:val="2AFD0B8B"/>
    <w:rsid w:val="2B07492D"/>
    <w:rsid w:val="2B3855F3"/>
    <w:rsid w:val="2C175E0F"/>
    <w:rsid w:val="2C8B1D98"/>
    <w:rsid w:val="2D856BEC"/>
    <w:rsid w:val="2ECF6B3C"/>
    <w:rsid w:val="2F656CFC"/>
    <w:rsid w:val="2F6DAA0F"/>
    <w:rsid w:val="2FB7133D"/>
    <w:rsid w:val="30866DEC"/>
    <w:rsid w:val="32254F5A"/>
    <w:rsid w:val="33784CD4"/>
    <w:rsid w:val="33843993"/>
    <w:rsid w:val="34B955A4"/>
    <w:rsid w:val="36E3323C"/>
    <w:rsid w:val="37EF21AE"/>
    <w:rsid w:val="397DB313"/>
    <w:rsid w:val="3BFAAA11"/>
    <w:rsid w:val="3D2B5772"/>
    <w:rsid w:val="3EB94B1E"/>
    <w:rsid w:val="3FCE491A"/>
    <w:rsid w:val="40330901"/>
    <w:rsid w:val="43557B07"/>
    <w:rsid w:val="43F64368"/>
    <w:rsid w:val="442F198B"/>
    <w:rsid w:val="455EA0A4"/>
    <w:rsid w:val="45AD4CB1"/>
    <w:rsid w:val="486B4540"/>
    <w:rsid w:val="4CFC53E7"/>
    <w:rsid w:val="4E554AD7"/>
    <w:rsid w:val="4EFFAD5A"/>
    <w:rsid w:val="51121E6C"/>
    <w:rsid w:val="51FA7AE9"/>
    <w:rsid w:val="53077A81"/>
    <w:rsid w:val="53F320FE"/>
    <w:rsid w:val="571D01EE"/>
    <w:rsid w:val="57BB500C"/>
    <w:rsid w:val="5B3F4CB0"/>
    <w:rsid w:val="5DF7197E"/>
    <w:rsid w:val="5E184A4B"/>
    <w:rsid w:val="5E7BC3CD"/>
    <w:rsid w:val="5EB90683"/>
    <w:rsid w:val="5FDB3A85"/>
    <w:rsid w:val="5FF2BA8C"/>
    <w:rsid w:val="5FF339A2"/>
    <w:rsid w:val="617701F5"/>
    <w:rsid w:val="62782999"/>
    <w:rsid w:val="635E0D6E"/>
    <w:rsid w:val="63C7091D"/>
    <w:rsid w:val="649259DA"/>
    <w:rsid w:val="662C66AE"/>
    <w:rsid w:val="67BEBC3F"/>
    <w:rsid w:val="67CDB5BB"/>
    <w:rsid w:val="68A5389A"/>
    <w:rsid w:val="68BE1F32"/>
    <w:rsid w:val="6BBC5DD1"/>
    <w:rsid w:val="6BF32B6E"/>
    <w:rsid w:val="6C7776E3"/>
    <w:rsid w:val="6DF5CC88"/>
    <w:rsid w:val="6EFD3EDF"/>
    <w:rsid w:val="6F5EB393"/>
    <w:rsid w:val="6FAFC0BF"/>
    <w:rsid w:val="6FD89CA1"/>
    <w:rsid w:val="70AD3C34"/>
    <w:rsid w:val="711B771F"/>
    <w:rsid w:val="724C4D86"/>
    <w:rsid w:val="73BBDEFD"/>
    <w:rsid w:val="73FBE9B2"/>
    <w:rsid w:val="74251D33"/>
    <w:rsid w:val="75ED4AD2"/>
    <w:rsid w:val="77DE0798"/>
    <w:rsid w:val="791C1E80"/>
    <w:rsid w:val="79EF05AE"/>
    <w:rsid w:val="7B3EB967"/>
    <w:rsid w:val="7C7F7BF4"/>
    <w:rsid w:val="7D594B39"/>
    <w:rsid w:val="7D850F09"/>
    <w:rsid w:val="7DBEB326"/>
    <w:rsid w:val="7DDD4034"/>
    <w:rsid w:val="7DDFFADE"/>
    <w:rsid w:val="7EC72E4F"/>
    <w:rsid w:val="7F6C2F0C"/>
    <w:rsid w:val="7F9E69D1"/>
    <w:rsid w:val="7FAF0FB8"/>
    <w:rsid w:val="7FC7A3AA"/>
    <w:rsid w:val="7FD59943"/>
    <w:rsid w:val="7FEB09F3"/>
    <w:rsid w:val="7FF7218C"/>
    <w:rsid w:val="7FFA2219"/>
    <w:rsid w:val="7FFA7F8C"/>
    <w:rsid w:val="7FFEB756"/>
    <w:rsid w:val="7FFFAB86"/>
    <w:rsid w:val="8D375654"/>
    <w:rsid w:val="90FD7917"/>
    <w:rsid w:val="9EFDB592"/>
    <w:rsid w:val="A5FFDC44"/>
    <w:rsid w:val="AE771E2B"/>
    <w:rsid w:val="B7F16C2C"/>
    <w:rsid w:val="B92F97A6"/>
    <w:rsid w:val="BBBD35AC"/>
    <w:rsid w:val="BF7DC8F1"/>
    <w:rsid w:val="BF7FE219"/>
    <w:rsid w:val="BFA7FBA0"/>
    <w:rsid w:val="CFE7DF82"/>
    <w:rsid w:val="DCFB93D8"/>
    <w:rsid w:val="DDFD73F9"/>
    <w:rsid w:val="DF1F4AFF"/>
    <w:rsid w:val="E0FF2D45"/>
    <w:rsid w:val="EA5BD6C2"/>
    <w:rsid w:val="EBD73415"/>
    <w:rsid w:val="EFAF0E15"/>
    <w:rsid w:val="EFF3DAD9"/>
    <w:rsid w:val="F1CE5654"/>
    <w:rsid w:val="F3FF0CDE"/>
    <w:rsid w:val="F5BB2DC4"/>
    <w:rsid w:val="F5BFB789"/>
    <w:rsid w:val="F6AEBF01"/>
    <w:rsid w:val="F7EB0BDE"/>
    <w:rsid w:val="F7F44F2A"/>
    <w:rsid w:val="F93774C3"/>
    <w:rsid w:val="F96B2C58"/>
    <w:rsid w:val="FAB97EA8"/>
    <w:rsid w:val="FABEFD5A"/>
    <w:rsid w:val="FB4769F9"/>
    <w:rsid w:val="FBEF387B"/>
    <w:rsid w:val="FD773825"/>
    <w:rsid w:val="FDF6D957"/>
    <w:rsid w:val="FDFBE516"/>
    <w:rsid w:val="FEA82598"/>
    <w:rsid w:val="FEBA9F77"/>
    <w:rsid w:val="FEF6980B"/>
    <w:rsid w:val="FF3EEF27"/>
    <w:rsid w:val="FF5F78F9"/>
    <w:rsid w:val="FFF35DB7"/>
    <w:rsid w:val="FFF71CB1"/>
    <w:rsid w:val="FFFA6972"/>
    <w:rsid w:val="FFFE8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paragraph" w:styleId="2">
    <w:name w:val="heading 2"/>
    <w:basedOn w:val="1"/>
    <w:next w:val="1"/>
    <w:semiHidden/>
    <w:unhideWhenUsed/>
    <w:qFormat/>
    <w:uiPriority w:val="0"/>
    <w:pPr>
      <w:spacing w:beforeAutospacing="1" w:after="0" w:afterAutospacing="1"/>
      <w:jc w:val="left"/>
      <w:outlineLvl w:val="1"/>
    </w:pPr>
    <w:rPr>
      <w:rFonts w:hint="eastAsia" w:ascii="宋体" w:hAnsi="宋体"/>
      <w:b/>
      <w:bCs/>
      <w:kern w:val="0"/>
      <w:sz w:val="36"/>
      <w:szCs w:val="36"/>
    </w:rPr>
  </w:style>
  <w:style w:type="paragraph" w:styleId="3">
    <w:name w:val="heading 3"/>
    <w:basedOn w:val="1"/>
    <w:next w:val="1"/>
    <w:qFormat/>
    <w:uiPriority w:val="0"/>
    <w:pPr>
      <w:keepNext/>
      <w:keepLines/>
      <w:spacing w:before="120" w:after="120" w:line="360" w:lineRule="auto"/>
      <w:outlineLvl w:val="2"/>
    </w:pPr>
    <w:rPr>
      <w:rFonts w:hint="eastAsia" w:ascii="仿宋_GB2312" w:hAnsi="仿宋" w:eastAsia="仿宋_GB2312"/>
      <w:b/>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rPr>
      <w:kern w:val="0"/>
    </w:rPr>
  </w:style>
  <w:style w:type="paragraph" w:styleId="5">
    <w:name w:val="Body Text First Indent"/>
    <w:basedOn w:val="4"/>
    <w:next w:val="4"/>
    <w:qFormat/>
    <w:uiPriority w:val="0"/>
    <w:pPr>
      <w:ind w:firstLine="420" w:firstLineChars="1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Autospacing="1" w:after="0"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left="720"/>
      <w:contextualSpacing/>
    </w:pPr>
  </w:style>
  <w:style w:type="character" w:customStyle="1" w:styleId="14">
    <w:name w:val="10"/>
    <w:qFormat/>
    <w:uiPriority w:val="0"/>
    <w:rPr>
      <w:rFonts w:hint="default" w:ascii="Times New Roman" w:hAnsi="Times New Roman" w:cs="Times New Roman"/>
    </w:rPr>
  </w:style>
  <w:style w:type="character" w:customStyle="1" w:styleId="15">
    <w:name w:val="15"/>
    <w:qFormat/>
    <w:uiPriority w:val="0"/>
    <w:rPr>
      <w:rFonts w:hint="default" w:ascii="Times New Roman" w:hAnsi="Times New Roman" w:cs="Times New Roman"/>
    </w:rPr>
  </w:style>
  <w:style w:type="paragraph" w:customStyle="1" w:styleId="16">
    <w:name w:val="修订1"/>
    <w:hidden/>
    <w:unhideWhenUsed/>
    <w:qFormat/>
    <w:uiPriority w:val="99"/>
    <w:rPr>
      <w:rFonts w:ascii="Calibri" w:hAnsi="Calibri" w:eastAsia="宋体" w:cs="Times New Roman"/>
      <w:kern w:val="2"/>
      <w:sz w:val="21"/>
      <w:szCs w:val="22"/>
      <w:lang w:val="en-US" w:eastAsia="zh-CN" w:bidi="ar-SA"/>
    </w:rPr>
  </w:style>
  <w:style w:type="paragraph" w:customStyle="1" w:styleId="17">
    <w:name w:val="修订2"/>
    <w:hidden/>
    <w:unhideWhenUsed/>
    <w:qFormat/>
    <w:uiPriority w:val="99"/>
    <w:rPr>
      <w:rFonts w:ascii="Calibri" w:hAnsi="Calibri" w:eastAsia="宋体" w:cs="Times New Roman"/>
      <w:kern w:val="2"/>
      <w:sz w:val="21"/>
      <w:szCs w:val="22"/>
      <w:lang w:val="en-US" w:eastAsia="zh-CN" w:bidi="ar-SA"/>
    </w:rPr>
  </w:style>
  <w:style w:type="paragraph" w:customStyle="1" w:styleId="18">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3076</Words>
  <Characters>3122</Characters>
  <Lines>76</Lines>
  <Paragraphs>21</Paragraphs>
  <TotalTime>2</TotalTime>
  <ScaleCrop>false</ScaleCrop>
  <LinksUpToDate>false</LinksUpToDate>
  <CharactersWithSpaces>3122</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2026-04-03T11:24:00Z</dcterms:created>
  <dc:creator>admin</dc:creator>
  <cp:lastModifiedBy>admin</cp:lastModifiedBy>
  <cp:lastPrinted>2026-04-25T15:16:00Z</cp:lastPrinted>
  <dcterms:modified xsi:type="dcterms:W3CDTF">2026-04-30T16:55:12Z</dcterms:modified>
  <dc:title>2025年度行政事业单位内部控制评价和</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KSOTemplateDocerSaveRecord">
    <vt:lpwstr>eyJoZGlkIjoiZjk1ODc5ODkxZDY5YTUxNTQ1NjdjMzE1Y2E2MjQyMzciLCJ1c2VySWQiOiIxNjQyOTM2Njg3In0=</vt:lpwstr>
  </property>
  <property fmtid="{D5CDD505-2E9C-101B-9397-08002B2CF9AE}" pid="4" name="ICV">
    <vt:lpwstr>74B193814D0048F689372BE276A5D02F_13</vt:lpwstr>
  </property>
</Properties>
</file>