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ADB" w:rsidRDefault="00C04ADB">
      <w:pPr>
        <w:widowControl/>
        <w:jc w:val="center"/>
        <w:rPr>
          <w:rFonts w:ascii="Times New Roman" w:eastAsia="黑体" w:hAnsi="Times New Roman" w:hint="eastAsia"/>
          <w:bCs/>
          <w:sz w:val="44"/>
          <w:szCs w:val="44"/>
        </w:rPr>
      </w:pPr>
    </w:p>
    <w:p w:rsidR="0053374F" w:rsidRDefault="0053374F">
      <w:pPr>
        <w:widowControl/>
        <w:jc w:val="center"/>
        <w:rPr>
          <w:rFonts w:ascii="Times New Roman" w:eastAsia="黑体" w:hAnsi="Times New Roman"/>
          <w:bCs/>
          <w:sz w:val="44"/>
          <w:szCs w:val="44"/>
        </w:rPr>
      </w:pPr>
    </w:p>
    <w:p w:rsidR="007E7C86" w:rsidRPr="00C04ADB" w:rsidRDefault="007E7C86">
      <w:pPr>
        <w:widowControl/>
        <w:jc w:val="center"/>
        <w:rPr>
          <w:rFonts w:ascii="Times New Roman" w:eastAsia="黑体" w:hAnsi="Times New Roman"/>
          <w:bCs/>
          <w:sz w:val="44"/>
          <w:szCs w:val="44"/>
        </w:rPr>
      </w:pPr>
    </w:p>
    <w:p w:rsidR="00C04ADB" w:rsidRPr="007E7C86" w:rsidRDefault="00C04ADB">
      <w:pPr>
        <w:widowControl/>
        <w:jc w:val="center"/>
        <w:rPr>
          <w:rFonts w:ascii="Times New Roman" w:eastAsia="黑体" w:hAnsi="Times New Roman"/>
          <w:bCs/>
          <w:sz w:val="72"/>
          <w:szCs w:val="72"/>
        </w:rPr>
      </w:pPr>
      <w:r w:rsidRPr="007E7C86">
        <w:rPr>
          <w:rFonts w:ascii="Times New Roman" w:eastAsia="黑体" w:hAnsi="Times New Roman" w:hint="eastAsia"/>
          <w:bCs/>
          <w:sz w:val="72"/>
          <w:szCs w:val="72"/>
        </w:rPr>
        <w:t>管理会计在医院成本</w:t>
      </w:r>
    </w:p>
    <w:p w:rsidR="002C02E6" w:rsidRPr="007E7C86" w:rsidRDefault="00C04ADB">
      <w:pPr>
        <w:widowControl/>
        <w:jc w:val="center"/>
        <w:rPr>
          <w:rFonts w:ascii="Times New Roman" w:eastAsia="黑体" w:hAnsi="Times New Roman"/>
          <w:bCs/>
          <w:sz w:val="72"/>
          <w:szCs w:val="72"/>
        </w:rPr>
      </w:pPr>
      <w:r w:rsidRPr="007E7C86">
        <w:rPr>
          <w:rFonts w:ascii="Times New Roman" w:eastAsia="黑体" w:hAnsi="Times New Roman" w:hint="eastAsia"/>
          <w:bCs/>
          <w:sz w:val="72"/>
          <w:szCs w:val="72"/>
        </w:rPr>
        <w:t>管理中的应用</w:t>
      </w:r>
    </w:p>
    <w:p w:rsidR="002C02E6" w:rsidRDefault="002C02E6">
      <w:pPr>
        <w:widowControl/>
        <w:jc w:val="center"/>
        <w:rPr>
          <w:rFonts w:ascii="Times New Roman" w:eastAsia="黑体" w:hAnsi="Times New Roman"/>
          <w:bCs/>
          <w:sz w:val="52"/>
          <w:szCs w:val="52"/>
        </w:rPr>
      </w:pPr>
    </w:p>
    <w:p w:rsidR="002C02E6" w:rsidRPr="006427A2" w:rsidRDefault="00C917C2">
      <w:pPr>
        <w:widowControl/>
        <w:jc w:val="center"/>
        <w:rPr>
          <w:rFonts w:ascii="Times New Roman" w:eastAsia="黑体" w:hAnsi="Times New Roman"/>
          <w:bCs/>
          <w:sz w:val="36"/>
          <w:szCs w:val="36"/>
        </w:rPr>
      </w:pPr>
      <w:r w:rsidRPr="006427A2">
        <w:rPr>
          <w:rFonts w:ascii="Times New Roman" w:eastAsia="黑体" w:hAnsi="Times New Roman" w:hint="eastAsia"/>
          <w:bCs/>
          <w:sz w:val="36"/>
          <w:szCs w:val="36"/>
        </w:rPr>
        <w:t>（综合类）</w:t>
      </w:r>
    </w:p>
    <w:p w:rsidR="002C02E6" w:rsidRDefault="002C02E6">
      <w:pPr>
        <w:widowControl/>
        <w:jc w:val="center"/>
        <w:rPr>
          <w:rFonts w:ascii="Times New Roman" w:eastAsia="黑体" w:hAnsi="Times New Roman"/>
          <w:bCs/>
          <w:sz w:val="52"/>
          <w:szCs w:val="52"/>
        </w:rPr>
      </w:pPr>
    </w:p>
    <w:p w:rsidR="002C02E6" w:rsidRDefault="002C02E6">
      <w:pPr>
        <w:widowControl/>
        <w:jc w:val="center"/>
        <w:rPr>
          <w:rFonts w:ascii="Times New Roman" w:eastAsia="黑体" w:hAnsi="Times New Roman"/>
          <w:bCs/>
          <w:sz w:val="52"/>
          <w:szCs w:val="52"/>
        </w:rPr>
      </w:pPr>
    </w:p>
    <w:p w:rsidR="002C02E6" w:rsidRDefault="002C02E6">
      <w:pPr>
        <w:widowControl/>
        <w:jc w:val="center"/>
        <w:rPr>
          <w:rFonts w:ascii="Times New Roman" w:eastAsia="黑体" w:hAnsi="Times New Roman"/>
          <w:bCs/>
          <w:sz w:val="52"/>
          <w:szCs w:val="52"/>
        </w:rPr>
      </w:pPr>
    </w:p>
    <w:p w:rsidR="002C02E6" w:rsidRDefault="00C917C2">
      <w:pPr>
        <w:widowControl/>
        <w:jc w:val="center"/>
        <w:rPr>
          <w:rFonts w:ascii="Times New Roman" w:eastAsia="黑体" w:hAnsi="Times New Roman"/>
          <w:bCs/>
          <w:sz w:val="52"/>
          <w:szCs w:val="52"/>
        </w:rPr>
      </w:pPr>
      <w:r>
        <w:rPr>
          <w:noProof/>
        </w:rPr>
        <w:drawing>
          <wp:inline distT="0" distB="0" distL="0" distR="0">
            <wp:extent cx="3409950" cy="2057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2057400"/>
                    </a:xfrm>
                    <a:prstGeom prst="rect">
                      <a:avLst/>
                    </a:prstGeom>
                    <a:noFill/>
                    <a:ln>
                      <a:noFill/>
                    </a:ln>
                  </pic:spPr>
                </pic:pic>
              </a:graphicData>
            </a:graphic>
          </wp:inline>
        </w:drawing>
      </w:r>
    </w:p>
    <w:p w:rsidR="002C02E6" w:rsidRDefault="002C02E6">
      <w:pPr>
        <w:widowControl/>
        <w:jc w:val="center"/>
        <w:rPr>
          <w:rFonts w:ascii="Times New Roman" w:eastAsia="黑体" w:hAnsi="Times New Roman"/>
          <w:bCs/>
          <w:sz w:val="52"/>
          <w:szCs w:val="52"/>
        </w:rPr>
      </w:pPr>
    </w:p>
    <w:p w:rsidR="002C02E6" w:rsidRDefault="002C02E6">
      <w:pPr>
        <w:widowControl/>
        <w:jc w:val="center"/>
        <w:rPr>
          <w:rFonts w:ascii="Times New Roman" w:eastAsia="黑体" w:hAnsi="Times New Roman"/>
          <w:bCs/>
          <w:sz w:val="52"/>
          <w:szCs w:val="52"/>
        </w:rPr>
      </w:pPr>
    </w:p>
    <w:p w:rsidR="002C02E6" w:rsidRDefault="002C02E6">
      <w:pPr>
        <w:widowControl/>
        <w:jc w:val="center"/>
        <w:rPr>
          <w:rFonts w:ascii="Times New Roman" w:eastAsia="黑体" w:hAnsi="Times New Roman"/>
          <w:bCs/>
          <w:sz w:val="52"/>
          <w:szCs w:val="52"/>
        </w:rPr>
      </w:pPr>
    </w:p>
    <w:p w:rsidR="002C02E6" w:rsidRPr="007E7C86" w:rsidRDefault="00C917C2">
      <w:pPr>
        <w:jc w:val="center"/>
        <w:rPr>
          <w:rFonts w:ascii="Times New Roman" w:eastAsia="黑体" w:hAnsi="Times New Roman"/>
          <w:bCs/>
          <w:sz w:val="48"/>
          <w:szCs w:val="48"/>
        </w:rPr>
      </w:pPr>
      <w:r w:rsidRPr="007E7C86">
        <w:rPr>
          <w:rFonts w:ascii="Times New Roman" w:eastAsia="黑体" w:hAnsi="Times New Roman" w:hint="eastAsia"/>
          <w:bCs/>
          <w:sz w:val="48"/>
          <w:szCs w:val="48"/>
        </w:rPr>
        <w:t>青岛大学附属医院</w:t>
      </w:r>
    </w:p>
    <w:p w:rsidR="002C02E6" w:rsidRDefault="00C917C2">
      <w:pPr>
        <w:rPr>
          <w:rFonts w:ascii="仿宋_GB2312" w:eastAsia="仿宋_GB2312"/>
          <w:sz w:val="32"/>
          <w:szCs w:val="32"/>
        </w:rPr>
      </w:pPr>
      <w:r>
        <w:rPr>
          <w:rFonts w:ascii="仿宋_GB2312" w:eastAsia="仿宋_GB2312"/>
          <w:sz w:val="32"/>
          <w:szCs w:val="32"/>
        </w:rPr>
        <w:br w:type="page"/>
      </w:r>
    </w:p>
    <w:p w:rsidR="002C02E6" w:rsidRDefault="00C917C2">
      <w:pPr>
        <w:pStyle w:val="1"/>
        <w:rPr>
          <w:rFonts w:ascii="黑体" w:eastAsia="黑体"/>
          <w:sz w:val="32"/>
          <w:szCs w:val="32"/>
        </w:rPr>
      </w:pPr>
      <w:bookmarkStart w:id="0" w:name="_Toc517177955"/>
      <w:r>
        <w:rPr>
          <w:rFonts w:ascii="黑体" w:eastAsia="黑体" w:hint="eastAsia"/>
          <w:sz w:val="32"/>
          <w:szCs w:val="32"/>
        </w:rPr>
        <w:lastRenderedPageBreak/>
        <w:t>第一部分  目录</w:t>
      </w:r>
      <w:bookmarkEnd w:id="0"/>
    </w:p>
    <w:p w:rsidR="002C02E6" w:rsidRDefault="00C917C2">
      <w:pPr>
        <w:pStyle w:val="TOC"/>
      </w:pPr>
      <w:r>
        <w:rPr>
          <w:lang w:val="zh-CN"/>
        </w:rPr>
        <w:t>目录</w:t>
      </w:r>
    </w:p>
    <w:p w:rsidR="002C02E6" w:rsidRDefault="00C917C2">
      <w:pPr>
        <w:pStyle w:val="10"/>
        <w:tabs>
          <w:tab w:val="right" w:leader="dot" w:pos="8834"/>
        </w:tabs>
        <w:rPr>
          <w:rFonts w:ascii="仿宋" w:eastAsia="仿宋" w:hAnsi="仿宋" w:cstheme="minorBidi"/>
          <w:noProof/>
          <w:sz w:val="28"/>
          <w:szCs w:val="28"/>
        </w:rPr>
      </w:pPr>
      <w:r>
        <w:rPr>
          <w:rFonts w:ascii="仿宋" w:eastAsia="仿宋" w:hAnsi="仿宋"/>
          <w:sz w:val="28"/>
          <w:szCs w:val="28"/>
        </w:rPr>
        <w:fldChar w:fldCharType="begin"/>
      </w:r>
      <w:r>
        <w:rPr>
          <w:rFonts w:ascii="仿宋" w:eastAsia="仿宋" w:hAnsi="仿宋"/>
          <w:sz w:val="28"/>
          <w:szCs w:val="28"/>
        </w:rPr>
        <w:instrText xml:space="preserve"> TOC \o "1-3" \h \z \u </w:instrText>
      </w:r>
      <w:r>
        <w:rPr>
          <w:rFonts w:ascii="仿宋" w:eastAsia="仿宋" w:hAnsi="仿宋"/>
          <w:sz w:val="28"/>
          <w:szCs w:val="28"/>
        </w:rPr>
        <w:fldChar w:fldCharType="separate"/>
      </w:r>
      <w:hyperlink w:anchor="_Toc517177955" w:history="1">
        <w:r>
          <w:rPr>
            <w:rStyle w:val="a8"/>
            <w:rFonts w:ascii="仿宋" w:eastAsia="仿宋" w:hAnsi="仿宋" w:hint="eastAsia"/>
            <w:noProof/>
            <w:sz w:val="28"/>
            <w:szCs w:val="28"/>
          </w:rPr>
          <w:t>第一部分</w:t>
        </w:r>
        <w:r>
          <w:rPr>
            <w:rStyle w:val="a8"/>
            <w:rFonts w:ascii="仿宋" w:eastAsia="仿宋" w:hAnsi="仿宋"/>
            <w:noProof/>
            <w:sz w:val="28"/>
            <w:szCs w:val="28"/>
          </w:rPr>
          <w:t xml:space="preserve">  </w:t>
        </w:r>
        <w:r>
          <w:rPr>
            <w:rStyle w:val="a8"/>
            <w:rFonts w:ascii="仿宋" w:eastAsia="仿宋" w:hAnsi="仿宋" w:hint="eastAsia"/>
            <w:noProof/>
            <w:sz w:val="28"/>
            <w:szCs w:val="28"/>
          </w:rPr>
          <w:t>目录</w:t>
        </w:r>
        <w:r>
          <w:rPr>
            <w:rFonts w:ascii="仿宋" w:eastAsia="仿宋" w:hAnsi="仿宋"/>
            <w:noProof/>
            <w:webHidden/>
            <w:sz w:val="28"/>
            <w:szCs w:val="28"/>
          </w:rPr>
          <w:tab/>
        </w:r>
        <w:r>
          <w:rPr>
            <w:rFonts w:ascii="仿宋" w:eastAsia="仿宋" w:hAnsi="仿宋"/>
            <w:noProof/>
            <w:webHidden/>
            <w:sz w:val="28"/>
            <w:szCs w:val="28"/>
          </w:rPr>
          <w:fldChar w:fldCharType="begin"/>
        </w:r>
        <w:r>
          <w:rPr>
            <w:rFonts w:ascii="仿宋" w:eastAsia="仿宋" w:hAnsi="仿宋"/>
            <w:noProof/>
            <w:webHidden/>
            <w:sz w:val="28"/>
            <w:szCs w:val="28"/>
          </w:rPr>
          <w:instrText xml:space="preserve"> PAGEREF _Toc517177955 \h </w:instrText>
        </w:r>
        <w:r>
          <w:rPr>
            <w:rFonts w:ascii="仿宋" w:eastAsia="仿宋" w:hAnsi="仿宋"/>
            <w:noProof/>
            <w:webHidden/>
            <w:sz w:val="28"/>
            <w:szCs w:val="28"/>
          </w:rPr>
        </w:r>
        <w:r>
          <w:rPr>
            <w:rFonts w:ascii="仿宋" w:eastAsia="仿宋" w:hAnsi="仿宋"/>
            <w:noProof/>
            <w:webHidden/>
            <w:sz w:val="28"/>
            <w:szCs w:val="28"/>
          </w:rPr>
          <w:fldChar w:fldCharType="separate"/>
        </w:r>
        <w:r w:rsidR="008163CD">
          <w:rPr>
            <w:rFonts w:ascii="仿宋" w:eastAsia="仿宋" w:hAnsi="仿宋"/>
            <w:noProof/>
            <w:webHidden/>
            <w:sz w:val="28"/>
            <w:szCs w:val="28"/>
          </w:rPr>
          <w:t>3</w:t>
        </w:r>
        <w:r>
          <w:rPr>
            <w:rFonts w:ascii="仿宋" w:eastAsia="仿宋" w:hAnsi="仿宋"/>
            <w:noProof/>
            <w:webHidden/>
            <w:sz w:val="28"/>
            <w:szCs w:val="28"/>
          </w:rPr>
          <w:fldChar w:fldCharType="end"/>
        </w:r>
      </w:hyperlink>
    </w:p>
    <w:p w:rsidR="002C02E6" w:rsidRDefault="00117DDC">
      <w:pPr>
        <w:pStyle w:val="10"/>
        <w:tabs>
          <w:tab w:val="right" w:leader="dot" w:pos="8834"/>
        </w:tabs>
        <w:rPr>
          <w:rFonts w:ascii="仿宋" w:eastAsia="仿宋" w:hAnsi="仿宋" w:cstheme="minorBidi"/>
          <w:noProof/>
          <w:sz w:val="28"/>
          <w:szCs w:val="28"/>
        </w:rPr>
      </w:pPr>
      <w:hyperlink w:anchor="_Toc517177956" w:history="1">
        <w:r w:rsidR="00C917C2">
          <w:rPr>
            <w:rStyle w:val="a8"/>
            <w:rFonts w:ascii="仿宋" w:eastAsia="仿宋" w:hAnsi="仿宋" w:hint="eastAsia"/>
            <w:noProof/>
            <w:sz w:val="28"/>
            <w:szCs w:val="28"/>
          </w:rPr>
          <w:t>第二部分</w:t>
        </w:r>
        <w:r w:rsidR="00C917C2">
          <w:rPr>
            <w:rStyle w:val="a8"/>
            <w:rFonts w:ascii="仿宋" w:eastAsia="仿宋" w:hAnsi="仿宋"/>
            <w:noProof/>
            <w:sz w:val="28"/>
            <w:szCs w:val="28"/>
          </w:rPr>
          <w:t xml:space="preserve">  </w:t>
        </w:r>
        <w:r w:rsidR="00C917C2">
          <w:rPr>
            <w:rStyle w:val="a8"/>
            <w:rFonts w:ascii="仿宋" w:eastAsia="仿宋" w:hAnsi="仿宋" w:hint="eastAsia"/>
            <w:noProof/>
            <w:sz w:val="28"/>
            <w:szCs w:val="28"/>
          </w:rPr>
          <w:t>内容摘要</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_Toc517177956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57" w:history="1">
        <w:r w:rsidR="00C917C2">
          <w:rPr>
            <w:rStyle w:val="a8"/>
            <w:rFonts w:ascii="仿宋" w:eastAsia="仿宋" w:hAnsi="仿宋" w:hint="eastAsia"/>
            <w:noProof/>
            <w:sz w:val="28"/>
            <w:szCs w:val="28"/>
          </w:rPr>
          <w:t>一、开展医院成本核算的原因</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_Toc517177957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58" w:history="1">
        <w:r w:rsidR="00C917C2">
          <w:rPr>
            <w:rStyle w:val="a8"/>
            <w:rFonts w:ascii="仿宋" w:eastAsia="仿宋" w:hAnsi="仿宋" w:hint="eastAsia"/>
            <w:noProof/>
            <w:sz w:val="28"/>
            <w:szCs w:val="28"/>
          </w:rPr>
          <w:t>二、开展医院成本核算的思路与步骤</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_Toc517177958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9</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59" w:history="1">
        <w:r w:rsidR="00C917C2">
          <w:rPr>
            <w:rStyle w:val="a8"/>
            <w:rFonts w:ascii="仿宋" w:eastAsia="仿宋" w:hAnsi="仿宋" w:hint="eastAsia"/>
            <w:noProof/>
            <w:sz w:val="28"/>
            <w:szCs w:val="28"/>
          </w:rPr>
          <w:t>三、开展医院成本核算的创新点</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_Toc517177959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10</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60" w:history="1">
        <w:r w:rsidR="00C917C2">
          <w:rPr>
            <w:rStyle w:val="a8"/>
            <w:rFonts w:ascii="仿宋" w:eastAsia="仿宋" w:hAnsi="仿宋" w:hint="eastAsia"/>
            <w:noProof/>
            <w:sz w:val="28"/>
            <w:szCs w:val="28"/>
          </w:rPr>
          <w:t>四、开展医院成本核算取得的效果</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_Toc517177960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11</w:t>
        </w:r>
        <w:r w:rsidR="00C917C2">
          <w:rPr>
            <w:rFonts w:ascii="仿宋" w:eastAsia="仿宋" w:hAnsi="仿宋"/>
            <w:noProof/>
            <w:webHidden/>
            <w:sz w:val="28"/>
            <w:szCs w:val="28"/>
          </w:rPr>
          <w:fldChar w:fldCharType="end"/>
        </w:r>
      </w:hyperlink>
    </w:p>
    <w:p w:rsidR="002C02E6" w:rsidRDefault="00117DDC">
      <w:pPr>
        <w:pStyle w:val="10"/>
        <w:tabs>
          <w:tab w:val="right" w:leader="dot" w:pos="8834"/>
        </w:tabs>
        <w:rPr>
          <w:rFonts w:ascii="仿宋" w:eastAsia="仿宋" w:hAnsi="仿宋" w:cstheme="minorBidi"/>
          <w:noProof/>
          <w:sz w:val="28"/>
          <w:szCs w:val="28"/>
        </w:rPr>
      </w:pPr>
      <w:hyperlink w:anchor="_Toc517177961" w:history="1">
        <w:r w:rsidR="00C917C2">
          <w:rPr>
            <w:rStyle w:val="a8"/>
            <w:rFonts w:ascii="仿宋" w:eastAsia="仿宋" w:hAnsi="仿宋" w:hint="eastAsia"/>
            <w:noProof/>
            <w:sz w:val="28"/>
            <w:szCs w:val="28"/>
          </w:rPr>
          <w:t>第三部分</w:t>
        </w:r>
        <w:r w:rsidR="00C917C2">
          <w:rPr>
            <w:rStyle w:val="a8"/>
            <w:rFonts w:ascii="仿宋" w:eastAsia="仿宋" w:hAnsi="仿宋"/>
            <w:noProof/>
            <w:sz w:val="28"/>
            <w:szCs w:val="28"/>
          </w:rPr>
          <w:t xml:space="preserve">  </w:t>
        </w:r>
        <w:r w:rsidR="00C917C2">
          <w:rPr>
            <w:rStyle w:val="a8"/>
            <w:rFonts w:ascii="仿宋" w:eastAsia="仿宋" w:hAnsi="仿宋" w:hint="eastAsia"/>
            <w:noProof/>
            <w:sz w:val="28"/>
            <w:szCs w:val="28"/>
          </w:rPr>
          <w:t>案例正文</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_Toc517177961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13</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62" w:history="1">
        <w:r w:rsidR="00C917C2">
          <w:rPr>
            <w:rStyle w:val="a8"/>
            <w:rFonts w:ascii="仿宋" w:eastAsia="仿宋" w:hAnsi="仿宋" w:hint="eastAsia"/>
            <w:noProof/>
            <w:sz w:val="28"/>
            <w:szCs w:val="28"/>
          </w:rPr>
          <w:t>一、背景描述</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_Toc517177962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3" w:history="1">
        <w:r w:rsidR="00C917C2">
          <w:rPr>
            <w:rStyle w:val="a8"/>
            <w:rFonts w:ascii="仿宋" w:eastAsia="仿宋" w:hAnsi="仿宋" w:hint="eastAsia"/>
            <w:noProof/>
            <w:sz w:val="28"/>
            <w:szCs w:val="28"/>
          </w:rPr>
          <w:t>（一）单位基本情况</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_Toc517177963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4" w:history="1">
        <w:r w:rsidR="00C917C2">
          <w:rPr>
            <w:rStyle w:val="a8"/>
            <w:rFonts w:ascii="仿宋" w:eastAsia="仿宋" w:hAnsi="仿宋" w:hint="eastAsia"/>
            <w:noProof/>
            <w:sz w:val="28"/>
            <w:szCs w:val="28"/>
          </w:rPr>
          <w:t>（二）单位管理现状分析和存在的主要问题</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_Toc517177964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13</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65" w:history="1">
        <w:r w:rsidR="00C917C2">
          <w:rPr>
            <w:rStyle w:val="a8"/>
            <w:rFonts w:ascii="仿宋" w:eastAsia="仿宋" w:hAnsi="仿宋" w:hint="eastAsia"/>
            <w:noProof/>
            <w:sz w:val="28"/>
            <w:szCs w:val="28"/>
          </w:rPr>
          <w:t>二、总体设计</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_Toc517177965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19</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6" w:history="1">
        <w:r w:rsidR="00C917C2">
          <w:rPr>
            <w:rStyle w:val="a8"/>
            <w:rFonts w:ascii="仿宋" w:eastAsia="仿宋" w:hAnsi="仿宋" w:hint="eastAsia"/>
            <w:noProof/>
            <w:sz w:val="28"/>
            <w:szCs w:val="28"/>
          </w:rPr>
          <w:t>（一）应用相关管理会计工具方法的目标</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_Toc517177966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20</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7" w:history="1">
        <w:r w:rsidR="00C917C2">
          <w:rPr>
            <w:rStyle w:val="a8"/>
            <w:rFonts w:ascii="仿宋" w:eastAsia="仿宋" w:hAnsi="仿宋" w:hint="eastAsia"/>
            <w:noProof/>
            <w:sz w:val="28"/>
            <w:szCs w:val="28"/>
          </w:rPr>
          <w:t>（二）应用相关管理会计工具方法的总体思路</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_Toc517177967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20</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8" w:history="1">
        <w:r w:rsidR="00C917C2">
          <w:rPr>
            <w:rStyle w:val="a8"/>
            <w:rFonts w:ascii="仿宋" w:eastAsia="仿宋" w:hAnsi="仿宋" w:hint="eastAsia"/>
            <w:noProof/>
            <w:sz w:val="28"/>
            <w:szCs w:val="28"/>
          </w:rPr>
          <w:t>（三）相关管理会计工具方法的内容</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_Toc517177968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22</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69" w:history="1">
        <w:r w:rsidR="00C917C2">
          <w:rPr>
            <w:rStyle w:val="a8"/>
            <w:rFonts w:ascii="仿宋" w:eastAsia="仿宋" w:hAnsi="仿宋" w:hint="eastAsia"/>
            <w:noProof/>
            <w:sz w:val="28"/>
            <w:szCs w:val="28"/>
          </w:rPr>
          <w:t>（四）应用相关管理会计工具方法的创新</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_Toc517177969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23</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70" w:history="1">
        <w:r w:rsidR="00C917C2">
          <w:rPr>
            <w:rStyle w:val="a8"/>
            <w:rFonts w:ascii="仿宋" w:eastAsia="仿宋" w:hAnsi="仿宋" w:hint="eastAsia"/>
            <w:noProof/>
            <w:sz w:val="28"/>
            <w:szCs w:val="28"/>
          </w:rPr>
          <w:t>三、应用过程</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_Toc517177970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1" w:history="1">
        <w:r w:rsidR="00C917C2">
          <w:rPr>
            <w:rStyle w:val="a8"/>
            <w:rFonts w:ascii="仿宋" w:eastAsia="仿宋" w:hAnsi="仿宋" w:hint="eastAsia"/>
            <w:noProof/>
            <w:sz w:val="28"/>
            <w:szCs w:val="28"/>
          </w:rPr>
          <w:t>（一）单位组织架构基本情况</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_Toc517177971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2" w:history="1">
        <w:r w:rsidR="00C917C2">
          <w:rPr>
            <w:rStyle w:val="a8"/>
            <w:rFonts w:ascii="仿宋" w:eastAsia="仿宋" w:hAnsi="仿宋" w:hint="eastAsia"/>
            <w:noProof/>
            <w:sz w:val="28"/>
            <w:szCs w:val="28"/>
          </w:rPr>
          <w:t>（二）参与部门</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_Toc517177972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24</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3" w:history="1">
        <w:r w:rsidR="00C917C2">
          <w:rPr>
            <w:rStyle w:val="a8"/>
            <w:rFonts w:ascii="仿宋" w:eastAsia="仿宋" w:hAnsi="仿宋" w:hint="eastAsia"/>
            <w:noProof/>
            <w:sz w:val="28"/>
            <w:szCs w:val="28"/>
          </w:rPr>
          <w:t>（三）应用相关管理会计工具方法的资源、环境、信息化条件等部</w:t>
        </w:r>
        <w:r w:rsidR="00C917C2">
          <w:rPr>
            <w:rStyle w:val="a8"/>
            <w:rFonts w:ascii="仿宋" w:eastAsia="仿宋" w:hAnsi="仿宋" w:hint="eastAsia"/>
            <w:noProof/>
            <w:sz w:val="28"/>
            <w:szCs w:val="28"/>
          </w:rPr>
          <w:lastRenderedPageBreak/>
          <w:t>署要求</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_Toc517177973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24</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4" w:history="1">
        <w:r w:rsidR="00C917C2">
          <w:rPr>
            <w:rStyle w:val="a8"/>
            <w:rFonts w:ascii="仿宋" w:eastAsia="仿宋" w:hAnsi="仿宋" w:hint="eastAsia"/>
            <w:noProof/>
            <w:sz w:val="28"/>
            <w:szCs w:val="28"/>
          </w:rPr>
          <w:t>（四）具体应用模式和应用流程</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_Toc517177974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25</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5" w:history="1">
        <w:r w:rsidR="00C917C2">
          <w:rPr>
            <w:rStyle w:val="a8"/>
            <w:rFonts w:ascii="仿宋" w:eastAsia="仿宋" w:hAnsi="仿宋" w:hint="eastAsia"/>
            <w:noProof/>
            <w:sz w:val="28"/>
            <w:szCs w:val="28"/>
          </w:rPr>
          <w:t>（五）在实施过程中遇到的主要问题和解决方法</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_Toc517177975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61</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76" w:history="1">
        <w:r w:rsidR="00C917C2">
          <w:rPr>
            <w:rStyle w:val="a8"/>
            <w:rFonts w:ascii="仿宋" w:eastAsia="仿宋" w:hAnsi="仿宋" w:hint="eastAsia"/>
            <w:noProof/>
            <w:sz w:val="28"/>
            <w:szCs w:val="28"/>
          </w:rPr>
          <w:t>四、取得成效</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_Toc517177976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62</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7" w:history="1">
        <w:r w:rsidR="00C917C2">
          <w:rPr>
            <w:rStyle w:val="a8"/>
            <w:rFonts w:ascii="仿宋" w:eastAsia="仿宋" w:hAnsi="仿宋" w:hint="eastAsia"/>
            <w:noProof/>
            <w:sz w:val="28"/>
            <w:szCs w:val="28"/>
          </w:rPr>
          <w:t>（一）应用相关管理会计工具方法前后情况对比</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_Toc517177977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62</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8" w:history="1">
        <w:r w:rsidR="00C917C2">
          <w:rPr>
            <w:rStyle w:val="a8"/>
            <w:rFonts w:ascii="仿宋" w:eastAsia="仿宋" w:hAnsi="仿宋" w:cs="宋体"/>
            <w:noProof/>
            <w:sz w:val="28"/>
            <w:szCs w:val="28"/>
          </w:rPr>
          <w:t>(</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_Toc517177978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79" w:history="1">
        <w:r w:rsidR="00C917C2">
          <w:rPr>
            <w:rStyle w:val="a8"/>
            <w:rFonts w:ascii="仿宋" w:eastAsia="仿宋" w:hAnsi="仿宋" w:hint="eastAsia"/>
            <w:noProof/>
            <w:sz w:val="28"/>
            <w:szCs w:val="28"/>
          </w:rPr>
          <w:t>（二）对解决单位管理问题情况的评价</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_Toc517177979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0" w:history="1">
        <w:r w:rsidR="00C917C2">
          <w:rPr>
            <w:rStyle w:val="a8"/>
            <w:rFonts w:ascii="仿宋" w:eastAsia="仿宋" w:hAnsi="仿宋" w:hint="eastAsia"/>
            <w:noProof/>
            <w:sz w:val="28"/>
            <w:szCs w:val="28"/>
          </w:rPr>
          <w:t>（三）对支持单位制定和落实战略的评价</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_Toc517177980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65</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1" w:history="1">
        <w:r w:rsidR="00C917C2">
          <w:rPr>
            <w:rStyle w:val="a8"/>
            <w:rFonts w:ascii="仿宋" w:eastAsia="仿宋" w:hAnsi="仿宋" w:hint="eastAsia"/>
            <w:noProof/>
            <w:sz w:val="28"/>
            <w:szCs w:val="28"/>
          </w:rPr>
          <w:t>（四）对提升单位管理决策有用性的评价</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_Toc517177981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65</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2" w:history="1">
        <w:r w:rsidR="00C917C2">
          <w:rPr>
            <w:rStyle w:val="a8"/>
            <w:rFonts w:ascii="仿宋" w:eastAsia="仿宋" w:hAnsi="仿宋" w:hint="eastAsia"/>
            <w:noProof/>
            <w:sz w:val="28"/>
            <w:szCs w:val="28"/>
          </w:rPr>
          <w:t>（五）对提高单位绩效管理水平的评价</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_Toc517177982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66</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83" w:history="1">
        <w:r w:rsidR="00C917C2">
          <w:rPr>
            <w:rStyle w:val="a8"/>
            <w:rFonts w:ascii="仿宋" w:eastAsia="仿宋" w:hAnsi="仿宋" w:hint="eastAsia"/>
            <w:noProof/>
            <w:sz w:val="28"/>
            <w:szCs w:val="28"/>
          </w:rPr>
          <w:t>五、经验总结</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_Toc517177983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67</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4" w:history="1">
        <w:r w:rsidR="00C917C2">
          <w:rPr>
            <w:rStyle w:val="a8"/>
            <w:rFonts w:ascii="仿宋" w:eastAsia="仿宋" w:hAnsi="仿宋" w:hint="eastAsia"/>
            <w:noProof/>
            <w:sz w:val="28"/>
            <w:szCs w:val="28"/>
          </w:rPr>
          <w:t>（一）相关管理会计工具方法的基本应用条件</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_Toc517177984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67</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5" w:history="1">
        <w:r w:rsidR="00C917C2">
          <w:rPr>
            <w:rStyle w:val="a8"/>
            <w:rFonts w:ascii="仿宋" w:eastAsia="仿宋" w:hAnsi="仿宋" w:hint="eastAsia"/>
            <w:noProof/>
            <w:sz w:val="28"/>
            <w:szCs w:val="28"/>
          </w:rPr>
          <w:t>（二）相关管理会计工具方法成功应用的关键因素</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_Toc517177985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68</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6" w:history="1">
        <w:r w:rsidR="00C917C2">
          <w:rPr>
            <w:rStyle w:val="a8"/>
            <w:rFonts w:ascii="仿宋" w:eastAsia="仿宋" w:hAnsi="仿宋" w:hint="eastAsia"/>
            <w:noProof/>
            <w:sz w:val="28"/>
            <w:szCs w:val="28"/>
          </w:rPr>
          <w:t>（三）对改进相关管理会计工具方法应用效果的思考</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_Toc517177986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69</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7" w:history="1">
        <w:r w:rsidR="00C917C2">
          <w:rPr>
            <w:rStyle w:val="a8"/>
            <w:rFonts w:ascii="仿宋" w:eastAsia="仿宋" w:hAnsi="仿宋" w:hint="eastAsia"/>
            <w:noProof/>
            <w:sz w:val="28"/>
            <w:szCs w:val="28"/>
          </w:rPr>
          <w:t>（四）相关管理会计工具方法在应用中的优缺点</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_Toc517177987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69</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8" w:history="1">
        <w:r w:rsidR="00C917C2">
          <w:rPr>
            <w:rStyle w:val="a8"/>
            <w:rFonts w:ascii="仿宋" w:eastAsia="仿宋" w:hAnsi="仿宋" w:hint="eastAsia"/>
            <w:noProof/>
            <w:sz w:val="28"/>
            <w:szCs w:val="28"/>
          </w:rPr>
          <w:t>（五）对发展和完善相关管理会计工具方法的建议</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_Toc517177988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70</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89" w:history="1">
        <w:r w:rsidR="00C917C2">
          <w:rPr>
            <w:rStyle w:val="a8"/>
            <w:rFonts w:ascii="仿宋" w:eastAsia="仿宋" w:hAnsi="仿宋" w:hint="eastAsia"/>
            <w:noProof/>
            <w:sz w:val="28"/>
            <w:szCs w:val="28"/>
          </w:rPr>
          <w:t>（六）对推广应用相关管理会计工具方法的建议</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_Toc517177989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70</w:t>
        </w:r>
        <w:r w:rsidR="00C917C2">
          <w:rPr>
            <w:rFonts w:ascii="仿宋" w:eastAsia="仿宋" w:hAnsi="仿宋"/>
            <w:noProof/>
            <w:webHidden/>
            <w:sz w:val="28"/>
            <w:szCs w:val="28"/>
          </w:rPr>
          <w:fldChar w:fldCharType="end"/>
        </w:r>
      </w:hyperlink>
    </w:p>
    <w:p w:rsidR="002C02E6" w:rsidRDefault="00117DDC">
      <w:pPr>
        <w:pStyle w:val="10"/>
        <w:tabs>
          <w:tab w:val="right" w:leader="dot" w:pos="8834"/>
        </w:tabs>
        <w:rPr>
          <w:rFonts w:ascii="仿宋" w:eastAsia="仿宋" w:hAnsi="仿宋" w:cstheme="minorBidi"/>
          <w:noProof/>
          <w:sz w:val="28"/>
          <w:szCs w:val="28"/>
        </w:rPr>
      </w:pPr>
      <w:hyperlink w:anchor="_Toc517177990" w:history="1">
        <w:r w:rsidR="00C917C2">
          <w:rPr>
            <w:rStyle w:val="a8"/>
            <w:rFonts w:ascii="仿宋" w:eastAsia="仿宋" w:hAnsi="仿宋" w:hint="eastAsia"/>
            <w:noProof/>
            <w:sz w:val="28"/>
            <w:szCs w:val="28"/>
          </w:rPr>
          <w:t>第四部分</w:t>
        </w:r>
        <w:r w:rsidR="00C917C2">
          <w:rPr>
            <w:rStyle w:val="a8"/>
            <w:rFonts w:ascii="仿宋" w:eastAsia="仿宋" w:hAnsi="仿宋"/>
            <w:noProof/>
            <w:sz w:val="28"/>
            <w:szCs w:val="28"/>
          </w:rPr>
          <w:t xml:space="preserve">  </w:t>
        </w:r>
        <w:r w:rsidR="00C917C2">
          <w:rPr>
            <w:rStyle w:val="a8"/>
            <w:rFonts w:ascii="仿宋" w:eastAsia="仿宋" w:hAnsi="仿宋" w:hint="eastAsia"/>
            <w:noProof/>
            <w:sz w:val="28"/>
            <w:szCs w:val="28"/>
          </w:rPr>
          <w:t>附录</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_Toc517177990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71</w:t>
        </w:r>
        <w:r w:rsidR="00C917C2">
          <w:rPr>
            <w:rFonts w:ascii="仿宋" w:eastAsia="仿宋" w:hAnsi="仿宋"/>
            <w:noProof/>
            <w:webHidden/>
            <w:sz w:val="28"/>
            <w:szCs w:val="28"/>
          </w:rPr>
          <w:fldChar w:fldCharType="end"/>
        </w:r>
      </w:hyperlink>
    </w:p>
    <w:p w:rsidR="002C02E6" w:rsidRDefault="00117DDC">
      <w:pPr>
        <w:pStyle w:val="20"/>
        <w:tabs>
          <w:tab w:val="right" w:leader="dot" w:pos="8834"/>
        </w:tabs>
        <w:rPr>
          <w:rFonts w:ascii="仿宋" w:eastAsia="仿宋" w:hAnsi="仿宋" w:cstheme="minorBidi"/>
          <w:noProof/>
          <w:sz w:val="28"/>
          <w:szCs w:val="28"/>
        </w:rPr>
      </w:pPr>
      <w:hyperlink w:anchor="_Toc517177991" w:history="1">
        <w:r w:rsidR="00C917C2">
          <w:rPr>
            <w:rStyle w:val="a8"/>
            <w:rFonts w:ascii="仿宋" w:eastAsia="仿宋" w:hAnsi="仿宋" w:hint="eastAsia"/>
            <w:noProof/>
            <w:sz w:val="28"/>
            <w:szCs w:val="28"/>
          </w:rPr>
          <w:t>消化内科经济运行报告</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_Toc517177991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72</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92" w:history="1">
        <w:r w:rsidR="00C917C2">
          <w:rPr>
            <w:rStyle w:val="a8"/>
            <w:rFonts w:ascii="仿宋" w:eastAsia="仿宋" w:hAnsi="仿宋" w:hint="eastAsia"/>
            <w:noProof/>
            <w:sz w:val="28"/>
            <w:szCs w:val="28"/>
          </w:rPr>
          <w:t>一、服务量</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_Toc517177992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73</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93" w:history="1">
        <w:r w:rsidR="00C917C2">
          <w:rPr>
            <w:rStyle w:val="a8"/>
            <w:rFonts w:ascii="仿宋" w:eastAsia="仿宋" w:hAnsi="仿宋" w:hint="eastAsia"/>
            <w:noProof/>
            <w:sz w:val="28"/>
            <w:szCs w:val="28"/>
          </w:rPr>
          <w:t>二、经济运行状况</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_Toc517177993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78</w:t>
        </w:r>
        <w:r w:rsidR="00C917C2">
          <w:rPr>
            <w:rFonts w:ascii="仿宋" w:eastAsia="仿宋" w:hAnsi="仿宋"/>
            <w:noProof/>
            <w:webHidden/>
            <w:sz w:val="28"/>
            <w:szCs w:val="28"/>
          </w:rPr>
          <w:fldChar w:fldCharType="end"/>
        </w:r>
      </w:hyperlink>
    </w:p>
    <w:p w:rsidR="002C02E6" w:rsidRDefault="00117DDC">
      <w:pPr>
        <w:pStyle w:val="30"/>
        <w:tabs>
          <w:tab w:val="right" w:leader="dot" w:pos="8834"/>
        </w:tabs>
        <w:rPr>
          <w:rFonts w:ascii="仿宋" w:eastAsia="仿宋" w:hAnsi="仿宋" w:cstheme="minorBidi"/>
          <w:noProof/>
          <w:sz w:val="28"/>
          <w:szCs w:val="28"/>
        </w:rPr>
      </w:pPr>
      <w:hyperlink w:anchor="_Toc517177994" w:history="1">
        <w:r w:rsidR="00C917C2">
          <w:rPr>
            <w:rStyle w:val="a8"/>
            <w:rFonts w:ascii="仿宋" w:eastAsia="仿宋" w:hAnsi="仿宋" w:hint="eastAsia"/>
            <w:noProof/>
            <w:sz w:val="28"/>
            <w:szCs w:val="28"/>
          </w:rPr>
          <w:t>三、控费情况</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_Toc517177994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83</w:t>
        </w:r>
        <w:r w:rsidR="00C917C2">
          <w:rPr>
            <w:rFonts w:ascii="仿宋" w:eastAsia="仿宋" w:hAnsi="仿宋"/>
            <w:noProof/>
            <w:webHidden/>
            <w:sz w:val="28"/>
            <w:szCs w:val="28"/>
          </w:rPr>
          <w:fldChar w:fldCharType="end"/>
        </w:r>
      </w:hyperlink>
    </w:p>
    <w:p w:rsidR="002C02E6" w:rsidRDefault="00117DDC">
      <w:pPr>
        <w:pStyle w:val="10"/>
        <w:tabs>
          <w:tab w:val="right" w:leader="dot" w:pos="8834"/>
        </w:tabs>
        <w:rPr>
          <w:rFonts w:ascii="仿宋" w:eastAsia="仿宋" w:hAnsi="仿宋" w:cstheme="minorBidi"/>
          <w:noProof/>
          <w:sz w:val="28"/>
          <w:szCs w:val="28"/>
        </w:rPr>
      </w:pPr>
      <w:hyperlink w:anchor="_Toc517177995" w:history="1">
        <w:r w:rsidR="00C917C2">
          <w:rPr>
            <w:rStyle w:val="a8"/>
            <w:rFonts w:ascii="仿宋" w:eastAsia="仿宋" w:hAnsi="仿宋" w:hint="eastAsia"/>
            <w:noProof/>
            <w:sz w:val="28"/>
            <w:szCs w:val="28"/>
          </w:rPr>
          <w:t>第五部分</w:t>
        </w:r>
        <w:r w:rsidR="00C917C2">
          <w:rPr>
            <w:rStyle w:val="a8"/>
            <w:rFonts w:ascii="仿宋" w:eastAsia="仿宋" w:hAnsi="仿宋"/>
            <w:noProof/>
            <w:sz w:val="28"/>
            <w:szCs w:val="28"/>
          </w:rPr>
          <w:t xml:space="preserve">  </w:t>
        </w:r>
        <w:r w:rsidR="00C917C2">
          <w:rPr>
            <w:rStyle w:val="a8"/>
            <w:rFonts w:ascii="仿宋" w:eastAsia="仿宋" w:hAnsi="仿宋" w:hint="eastAsia"/>
            <w:noProof/>
            <w:sz w:val="28"/>
            <w:szCs w:val="28"/>
          </w:rPr>
          <w:t>声明</w:t>
        </w:r>
        <w:r w:rsidR="00C917C2">
          <w:rPr>
            <w:rFonts w:ascii="仿宋" w:eastAsia="仿宋" w:hAnsi="仿宋"/>
            <w:noProof/>
            <w:webHidden/>
            <w:sz w:val="28"/>
            <w:szCs w:val="28"/>
          </w:rPr>
          <w:tab/>
        </w:r>
        <w:r w:rsidR="00C917C2">
          <w:rPr>
            <w:rFonts w:ascii="仿宋" w:eastAsia="仿宋" w:hAnsi="仿宋"/>
            <w:noProof/>
            <w:webHidden/>
            <w:sz w:val="28"/>
            <w:szCs w:val="28"/>
          </w:rPr>
          <w:fldChar w:fldCharType="begin"/>
        </w:r>
        <w:r w:rsidR="00C917C2">
          <w:rPr>
            <w:rFonts w:ascii="仿宋" w:eastAsia="仿宋" w:hAnsi="仿宋"/>
            <w:noProof/>
            <w:webHidden/>
            <w:sz w:val="28"/>
            <w:szCs w:val="28"/>
          </w:rPr>
          <w:instrText xml:space="preserve"> PAGEREF _Toc517177995 \h </w:instrText>
        </w:r>
        <w:r w:rsidR="00C917C2">
          <w:rPr>
            <w:rFonts w:ascii="仿宋" w:eastAsia="仿宋" w:hAnsi="仿宋"/>
            <w:noProof/>
            <w:webHidden/>
            <w:sz w:val="28"/>
            <w:szCs w:val="28"/>
          </w:rPr>
        </w:r>
        <w:r w:rsidR="00C917C2">
          <w:rPr>
            <w:rFonts w:ascii="仿宋" w:eastAsia="仿宋" w:hAnsi="仿宋"/>
            <w:noProof/>
            <w:webHidden/>
            <w:sz w:val="28"/>
            <w:szCs w:val="28"/>
          </w:rPr>
          <w:fldChar w:fldCharType="separate"/>
        </w:r>
        <w:r w:rsidR="008163CD">
          <w:rPr>
            <w:rFonts w:ascii="仿宋" w:eastAsia="仿宋" w:hAnsi="仿宋"/>
            <w:noProof/>
            <w:webHidden/>
            <w:sz w:val="28"/>
            <w:szCs w:val="28"/>
          </w:rPr>
          <w:t>89</w:t>
        </w:r>
        <w:r w:rsidR="00C917C2">
          <w:rPr>
            <w:rFonts w:ascii="仿宋" w:eastAsia="仿宋" w:hAnsi="仿宋"/>
            <w:noProof/>
            <w:webHidden/>
            <w:sz w:val="28"/>
            <w:szCs w:val="28"/>
          </w:rPr>
          <w:fldChar w:fldCharType="end"/>
        </w:r>
      </w:hyperlink>
    </w:p>
    <w:p w:rsidR="002C02E6" w:rsidRDefault="00C917C2">
      <w:pPr>
        <w:rPr>
          <w:sz w:val="24"/>
          <w:szCs w:val="24"/>
        </w:rPr>
      </w:pPr>
      <w:r>
        <w:rPr>
          <w:rFonts w:ascii="仿宋" w:eastAsia="仿宋" w:hAnsi="仿宋"/>
          <w:b/>
          <w:bCs/>
          <w:sz w:val="28"/>
          <w:szCs w:val="28"/>
          <w:lang w:val="zh-CN"/>
        </w:rPr>
        <w:fldChar w:fldCharType="end"/>
      </w:r>
    </w:p>
    <w:p w:rsidR="002C02E6" w:rsidRDefault="00C917C2">
      <w:pPr>
        <w:pStyle w:val="1"/>
        <w:rPr>
          <w:rFonts w:ascii="黑体" w:eastAsia="黑体"/>
          <w:sz w:val="32"/>
          <w:szCs w:val="32"/>
        </w:rPr>
      </w:pPr>
      <w:r>
        <w:rPr>
          <w:rFonts w:ascii="仿宋_GB2312" w:eastAsia="仿宋_GB2312"/>
          <w:sz w:val="24"/>
          <w:szCs w:val="24"/>
        </w:rPr>
        <w:br w:type="page"/>
      </w:r>
      <w:bookmarkStart w:id="1" w:name="_Toc517177956"/>
      <w:r>
        <w:rPr>
          <w:rFonts w:ascii="黑体" w:eastAsia="黑体" w:hint="eastAsia"/>
          <w:sz w:val="32"/>
          <w:szCs w:val="32"/>
        </w:rPr>
        <w:lastRenderedPageBreak/>
        <w:t>第二部分  内容摘要</w:t>
      </w:r>
      <w:bookmarkEnd w:id="1"/>
    </w:p>
    <w:p w:rsidR="002C02E6" w:rsidRDefault="00C917C2">
      <w:pPr>
        <w:pStyle w:val="2"/>
        <w:ind w:firstLine="643"/>
        <w:rPr>
          <w:rFonts w:ascii="仿宋_GB2312" w:eastAsia="仿宋_GB2312"/>
        </w:rPr>
      </w:pPr>
      <w:bookmarkStart w:id="2" w:name="_Toc517177957"/>
      <w:r>
        <w:rPr>
          <w:rFonts w:ascii="仿宋_GB2312" w:eastAsia="仿宋_GB2312" w:hint="eastAsia"/>
        </w:rPr>
        <w:t>一、开展医院成本核算的原因</w:t>
      </w:r>
      <w:bookmarkEnd w:id="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医院是一个非营利性的经济实体，其持续健康发展同样面临着成本问题。医院成本管理是健全医疗服务定价、完善补偿机制、</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保支付制度改革以及提高医院运营效率、优化资源配置和加强内部管理的客观需要，也是医院在市场竞争中得以生存和发展的重要保障。</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自2009年国家医药卫生体制改革启动尤其是2015年以来，国家推出了一系列</w:t>
      </w:r>
      <w:proofErr w:type="gramStart"/>
      <w:r>
        <w:rPr>
          <w:rFonts w:ascii="仿宋_GB2312" w:eastAsia="仿宋_GB2312" w:hint="eastAsia"/>
          <w:sz w:val="32"/>
          <w:szCs w:val="32"/>
        </w:rPr>
        <w:t>医</w:t>
      </w:r>
      <w:proofErr w:type="gramEnd"/>
      <w:r>
        <w:rPr>
          <w:rFonts w:ascii="仿宋_GB2312" w:eastAsia="仿宋_GB2312" w:hint="eastAsia"/>
          <w:sz w:val="32"/>
          <w:szCs w:val="32"/>
        </w:rPr>
        <w:t>改的指导性文件，将“群众受益、公平可及”作为</w:t>
      </w:r>
      <w:proofErr w:type="gramStart"/>
      <w:r>
        <w:rPr>
          <w:rFonts w:ascii="仿宋_GB2312" w:eastAsia="仿宋_GB2312" w:hint="eastAsia"/>
          <w:sz w:val="32"/>
          <w:szCs w:val="32"/>
        </w:rPr>
        <w:t>医</w:t>
      </w:r>
      <w:proofErr w:type="gramEnd"/>
      <w:r>
        <w:rPr>
          <w:rFonts w:ascii="仿宋_GB2312" w:eastAsia="仿宋_GB2312" w:hint="eastAsia"/>
          <w:sz w:val="32"/>
          <w:szCs w:val="32"/>
        </w:rPr>
        <w:t>改的出发点和立足点，解决百姓“看病难、看病贵”问题。取消药品进销差价，降低虚高耗材收入，在“总量控制、结构调整”的大原则之下，理顺医疗服务项目价格，推进</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w:t>
      </w:r>
      <w:proofErr w:type="gramStart"/>
      <w:r>
        <w:rPr>
          <w:rFonts w:ascii="仿宋_GB2312" w:eastAsia="仿宋_GB2312" w:hint="eastAsia"/>
          <w:sz w:val="32"/>
          <w:szCs w:val="32"/>
        </w:rPr>
        <w:t>变按项目</w:t>
      </w:r>
      <w:proofErr w:type="gramEnd"/>
      <w:r>
        <w:rPr>
          <w:rFonts w:ascii="仿宋_GB2312" w:eastAsia="仿宋_GB2312" w:hint="eastAsia"/>
          <w:sz w:val="32"/>
          <w:szCs w:val="32"/>
        </w:rPr>
        <w:t>付费为按病种付费，这一系列</w:t>
      </w:r>
      <w:proofErr w:type="gramStart"/>
      <w:r>
        <w:rPr>
          <w:rFonts w:ascii="仿宋_GB2312" w:eastAsia="仿宋_GB2312" w:hint="eastAsia"/>
          <w:sz w:val="32"/>
          <w:szCs w:val="32"/>
        </w:rPr>
        <w:t>医</w:t>
      </w:r>
      <w:proofErr w:type="gramEnd"/>
      <w:r>
        <w:rPr>
          <w:rFonts w:ascii="仿宋_GB2312" w:eastAsia="仿宋_GB2312" w:hint="eastAsia"/>
          <w:sz w:val="32"/>
          <w:szCs w:val="32"/>
        </w:rPr>
        <w:t>改措施的出台，使医院的补偿机制面临着挑战，客观加大了医院运营压力，医院的经营模式也面临挑战，原粗放式的单纯以追求数量增长为特征的管理模式已难以为继，以控制成本为基础的新运营模式亟待建立。在医院收入不可能大幅增长的情况下，医院成本控制变成了</w:t>
      </w:r>
      <w:proofErr w:type="gramStart"/>
      <w:r>
        <w:rPr>
          <w:rFonts w:ascii="仿宋_GB2312" w:eastAsia="仿宋_GB2312" w:hint="eastAsia"/>
          <w:sz w:val="32"/>
          <w:szCs w:val="32"/>
        </w:rPr>
        <w:t>医改背景下医院</w:t>
      </w:r>
      <w:proofErr w:type="gramEnd"/>
      <w:r>
        <w:rPr>
          <w:rFonts w:ascii="仿宋_GB2312" w:eastAsia="仿宋_GB2312" w:hint="eastAsia"/>
          <w:sz w:val="32"/>
          <w:szCs w:val="32"/>
        </w:rPr>
        <w:t>生存发展的关键所在。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对青岛大学附属医院来说，进行精细化的成本核算更有着现实紧迫的意义。医院规模大，管理复杂，是一所集主营业务医疗、教学、科研、预防、保健、康复业务技术指导为一体的省属大型综合性三级甲等医院，2017年营业额55.8亿元，居全国医院前</w:t>
      </w:r>
      <w:r>
        <w:rPr>
          <w:rFonts w:ascii="仿宋_GB2312" w:eastAsia="仿宋_GB2312" w:hint="eastAsia"/>
          <w:sz w:val="32"/>
          <w:szCs w:val="32"/>
        </w:rPr>
        <w:lastRenderedPageBreak/>
        <w:t>列，年门诊量497万，居山东省第1位，全国第8位，连续多年位列“中国最佳医院百强榜”，是中国位居前列的大型医疗集团。加大成本管控水平，实现科学发展，是医院战略发展的方向。</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医院成本管理包括三个对象：科室成本、医疗服务项目成本和病种成本。通过加强三个成本对象的核算与管控，旨在降低医院经营成本，提高医院收益水平，增强医院发展活力，实现医院健康可持续发展。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1.开展科室成本核算。可以了解科室成本耗费状况，进一步查找科室成本管理漏洞，通过建立科学的科室运营评价体系，以改进管理，提高收益水平，进一步增强科室发展活力；</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2.开展项目成本核算。核算医疗服务项目的成本构成及项目收益水平，为按</w:t>
      </w:r>
      <w:proofErr w:type="gramStart"/>
      <w:r>
        <w:rPr>
          <w:rFonts w:ascii="仿宋_GB2312" w:eastAsia="仿宋_GB2312" w:hint="eastAsia"/>
          <w:sz w:val="32"/>
          <w:szCs w:val="32"/>
        </w:rPr>
        <w:t>医改要求</w:t>
      </w:r>
      <w:proofErr w:type="gramEnd"/>
      <w:r>
        <w:rPr>
          <w:rFonts w:ascii="仿宋_GB2312" w:eastAsia="仿宋_GB2312" w:hint="eastAsia"/>
          <w:sz w:val="32"/>
          <w:szCs w:val="32"/>
        </w:rPr>
        <w:t>建立以收入和成本结构为基础的动态价格调整机制创造条件，也为和价格管理部门谈判确立医疗服务价格提供依据；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3.开展病种成本核算。精细化核算病种成本构成及病种收益能力，应对</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保支付制度改革，为按病种付费提供依据，也为绩效考核提供依据，为物价、财政部</w:t>
      </w:r>
      <w:proofErr w:type="gramStart"/>
      <w:r>
        <w:rPr>
          <w:rFonts w:ascii="仿宋_GB2312" w:eastAsia="仿宋_GB2312" w:hint="eastAsia"/>
          <w:sz w:val="32"/>
          <w:szCs w:val="32"/>
        </w:rPr>
        <w:t>门政策</w:t>
      </w:r>
      <w:proofErr w:type="gramEnd"/>
      <w:r>
        <w:rPr>
          <w:rFonts w:ascii="仿宋_GB2312" w:eastAsia="仿宋_GB2312" w:hint="eastAsia"/>
          <w:sz w:val="32"/>
          <w:szCs w:val="32"/>
        </w:rPr>
        <w:t>的出台提供依据。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长期以来，医院管理体制和运营机制体现“公益性”特征，追逐利润并不是医院发展的目标，院长、科室等各级管理者主要关注运营数量，很少关注经济运行质量，医院成本管理“粗放式”特征明显，对成本进行精细化管理动力也不足，这种粗放式的管理模式很难正确评价一个医院尤其是科室的经营成果。</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科室成本核算全国大部分医院基本能够开展，但成本核算体系科学性有待进一步完善，尤其是国内商品化成本核算软件普遍缺乏和实际工作的融合，设计体系不科学、不完善，直接影响了科室成本核算和科室运营成果的评价。</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项目成本和病种成本核算在全国医院中更是凤毛麟角，由于其复杂性，再加上国家刚刚启动</w:t>
      </w:r>
      <w:proofErr w:type="gramStart"/>
      <w:r>
        <w:rPr>
          <w:rFonts w:ascii="仿宋_GB2312" w:eastAsia="仿宋_GB2312" w:hint="eastAsia"/>
          <w:sz w:val="32"/>
          <w:szCs w:val="32"/>
        </w:rPr>
        <w:t>医</w:t>
      </w:r>
      <w:proofErr w:type="gramEnd"/>
      <w:r>
        <w:rPr>
          <w:rFonts w:ascii="仿宋_GB2312" w:eastAsia="仿宋_GB2312" w:hint="eastAsia"/>
          <w:sz w:val="32"/>
          <w:szCs w:val="32"/>
        </w:rPr>
        <w:t>改，在全国开展的并不多，尚没有发现真正成功的案例。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在这样的背景下，能不能创造一种科学的医院全面成本核算体系，解决医院科室成本、项目成本和病种成本核算问题，进一步构造科学的科室业绩评价体系，对医院管理来说是一项很大的挑战。</w:t>
      </w:r>
    </w:p>
    <w:p w:rsidR="002C02E6" w:rsidRDefault="00C917C2">
      <w:pPr>
        <w:pStyle w:val="2"/>
        <w:ind w:firstLine="643"/>
        <w:rPr>
          <w:rFonts w:ascii="仿宋_GB2312" w:eastAsia="仿宋_GB2312"/>
        </w:rPr>
      </w:pPr>
      <w:r>
        <w:rPr>
          <w:rFonts w:ascii="仿宋_GB2312" w:eastAsia="仿宋_GB2312" w:hint="eastAsia"/>
        </w:rPr>
        <w:t>二、应用管理会计工具方法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从财务管理的角度看，会计的职能逐步由财务会计向管理会计转移，由会计处理向过程管理转移，管理会计的应用开始普及，财务和会计的职能正变得更具效率。在财政部</w:t>
      </w:r>
      <w:r>
        <w:rPr>
          <w:rFonts w:ascii="仿宋_GB2312" w:eastAsia="仿宋_GB2312"/>
          <w:sz w:val="32"/>
          <w:szCs w:val="32"/>
        </w:rPr>
        <w:t>[2016]10号</w:t>
      </w:r>
      <w:proofErr w:type="gramStart"/>
      <w:r>
        <w:rPr>
          <w:rFonts w:ascii="仿宋_GB2312" w:eastAsia="仿宋_GB2312" w:hint="eastAsia"/>
          <w:sz w:val="32"/>
          <w:szCs w:val="32"/>
        </w:rPr>
        <w:t>《</w:t>
      </w:r>
      <w:proofErr w:type="gramEnd"/>
      <w:r>
        <w:rPr>
          <w:rFonts w:ascii="仿宋_GB2312" w:eastAsia="仿宋_GB2312"/>
          <w:sz w:val="32"/>
          <w:szCs w:val="32"/>
        </w:rPr>
        <w:t>关于印发</w:t>
      </w:r>
      <w:proofErr w:type="gramStart"/>
      <w:r>
        <w:rPr>
          <w:rFonts w:ascii="仿宋_GB2312" w:eastAsia="仿宋_GB2312"/>
          <w:sz w:val="32"/>
          <w:szCs w:val="32"/>
        </w:rPr>
        <w:t>《</w:t>
      </w:r>
      <w:proofErr w:type="gramEnd"/>
      <w:r>
        <w:rPr>
          <w:rFonts w:ascii="仿宋_GB2312" w:eastAsia="仿宋_GB2312"/>
          <w:sz w:val="32"/>
          <w:szCs w:val="32"/>
        </w:rPr>
        <w:t>管理会计基本指引</w:t>
      </w:r>
      <w:proofErr w:type="gramStart"/>
      <w:r>
        <w:rPr>
          <w:rFonts w:ascii="仿宋_GB2312" w:eastAsia="仿宋_GB2312"/>
          <w:sz w:val="32"/>
          <w:szCs w:val="32"/>
        </w:rPr>
        <w:t>》</w:t>
      </w:r>
      <w:proofErr w:type="gramEnd"/>
      <w:r>
        <w:rPr>
          <w:rFonts w:ascii="仿宋_GB2312" w:eastAsia="仿宋_GB2312"/>
          <w:sz w:val="32"/>
          <w:szCs w:val="32"/>
        </w:rPr>
        <w:t>的通知</w:t>
      </w:r>
      <w:proofErr w:type="gramStart"/>
      <w:r>
        <w:rPr>
          <w:rFonts w:ascii="仿宋_GB2312" w:eastAsia="仿宋_GB2312" w:hint="eastAsia"/>
          <w:sz w:val="32"/>
          <w:szCs w:val="32"/>
        </w:rPr>
        <w:t>》</w:t>
      </w:r>
      <w:proofErr w:type="gramEnd"/>
      <w:r>
        <w:rPr>
          <w:rFonts w:ascii="仿宋_GB2312" w:eastAsia="仿宋_GB2312" w:hint="eastAsia"/>
          <w:sz w:val="32"/>
          <w:szCs w:val="32"/>
        </w:rPr>
        <w:t>中，列出了管理会计的工具方法，包括</w:t>
      </w:r>
      <w:r>
        <w:rPr>
          <w:rFonts w:ascii="仿宋_GB2312" w:eastAsia="仿宋_GB2312"/>
          <w:sz w:val="32"/>
          <w:szCs w:val="32"/>
        </w:rPr>
        <w:t>作业成本</w:t>
      </w:r>
      <w:r>
        <w:rPr>
          <w:rFonts w:ascii="仿宋_GB2312" w:eastAsia="仿宋_GB2312" w:hint="eastAsia"/>
          <w:sz w:val="32"/>
          <w:szCs w:val="32"/>
        </w:rPr>
        <w:t>法</w:t>
      </w:r>
      <w:r>
        <w:rPr>
          <w:rFonts w:ascii="仿宋_GB2312" w:eastAsia="仿宋_GB2312"/>
          <w:sz w:val="32"/>
          <w:szCs w:val="32"/>
        </w:rPr>
        <w:t>、</w:t>
      </w:r>
      <w:proofErr w:type="gramStart"/>
      <w:r>
        <w:rPr>
          <w:rFonts w:ascii="仿宋_GB2312" w:eastAsia="仿宋_GB2312"/>
          <w:sz w:val="32"/>
          <w:szCs w:val="32"/>
        </w:rPr>
        <w:t>本量利</w:t>
      </w:r>
      <w:proofErr w:type="gramEnd"/>
      <w:r>
        <w:rPr>
          <w:rFonts w:ascii="仿宋_GB2312" w:eastAsia="仿宋_GB2312"/>
          <w:sz w:val="32"/>
          <w:szCs w:val="32"/>
        </w:rPr>
        <w:t>分析</w:t>
      </w:r>
      <w:r>
        <w:rPr>
          <w:rFonts w:ascii="仿宋_GB2312" w:eastAsia="仿宋_GB2312" w:hint="eastAsia"/>
          <w:sz w:val="32"/>
          <w:szCs w:val="32"/>
        </w:rPr>
        <w:t>、标准成本法等方法；在“管理会计应用指引第300号—成本管理”中，说明了成本管理的原则和成本管理工具方法，成本管理应用指引和成本管理的方法对于解决医院成本管理问题，探索实现成本精细化管理的路径具有很强的指导意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在本项目中，会用到多个管理会计工具方法，主要应用</w:t>
      </w:r>
      <w:r>
        <w:rPr>
          <w:rFonts w:ascii="仿宋_GB2312" w:eastAsia="仿宋_GB2312"/>
          <w:sz w:val="32"/>
          <w:szCs w:val="32"/>
        </w:rPr>
        <w:t>作业</w:t>
      </w:r>
      <w:r>
        <w:rPr>
          <w:rFonts w:ascii="仿宋_GB2312" w:eastAsia="仿宋_GB2312"/>
          <w:sz w:val="32"/>
          <w:szCs w:val="32"/>
        </w:rPr>
        <w:lastRenderedPageBreak/>
        <w:t>成本</w:t>
      </w:r>
      <w:r>
        <w:rPr>
          <w:rFonts w:ascii="仿宋_GB2312" w:eastAsia="仿宋_GB2312" w:hint="eastAsia"/>
          <w:sz w:val="32"/>
          <w:szCs w:val="32"/>
        </w:rPr>
        <w:t>法</w:t>
      </w:r>
      <w:r>
        <w:rPr>
          <w:rFonts w:ascii="仿宋_GB2312" w:eastAsia="仿宋_GB2312"/>
          <w:sz w:val="32"/>
          <w:szCs w:val="32"/>
        </w:rPr>
        <w:t>、</w:t>
      </w:r>
      <w:proofErr w:type="gramStart"/>
      <w:r>
        <w:rPr>
          <w:rFonts w:ascii="仿宋_GB2312" w:eastAsia="仿宋_GB2312"/>
          <w:sz w:val="32"/>
          <w:szCs w:val="32"/>
        </w:rPr>
        <w:t>本量利分析</w:t>
      </w:r>
      <w:proofErr w:type="gramEnd"/>
      <w:r>
        <w:rPr>
          <w:rFonts w:ascii="仿宋_GB2312" w:eastAsia="仿宋_GB2312" w:hint="eastAsia"/>
          <w:sz w:val="32"/>
          <w:szCs w:val="32"/>
        </w:rPr>
        <w:t>和标准成本法。</w:t>
      </w:r>
    </w:p>
    <w:p w:rsidR="002C02E6" w:rsidRDefault="00C917C2">
      <w:pPr>
        <w:pStyle w:val="2"/>
        <w:ind w:firstLine="643"/>
        <w:rPr>
          <w:rFonts w:ascii="仿宋_GB2312" w:eastAsia="仿宋_GB2312"/>
        </w:rPr>
      </w:pPr>
      <w:bookmarkStart w:id="3" w:name="_Toc517177958"/>
      <w:r>
        <w:rPr>
          <w:rFonts w:ascii="仿宋_GB2312" w:eastAsia="仿宋_GB2312" w:hint="eastAsia"/>
        </w:rPr>
        <w:t>三、开展医院成本核算的思路与步骤</w:t>
      </w:r>
      <w:bookmarkEnd w:id="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我院成立成本管理项目组，启动了在</w:t>
      </w:r>
      <w:proofErr w:type="gramStart"/>
      <w:r>
        <w:rPr>
          <w:rFonts w:ascii="仿宋_GB2312" w:eastAsia="仿宋_GB2312" w:hint="eastAsia"/>
          <w:sz w:val="32"/>
          <w:szCs w:val="32"/>
        </w:rPr>
        <w:t>医改背景</w:t>
      </w:r>
      <w:proofErr w:type="gramEnd"/>
      <w:r>
        <w:rPr>
          <w:rFonts w:ascii="仿宋_GB2312" w:eastAsia="仿宋_GB2312" w:hint="eastAsia"/>
          <w:sz w:val="32"/>
          <w:szCs w:val="32"/>
        </w:rPr>
        <w:t>下运用管理会计工具方法实现医院成本精细化管理的研究与实践，解决医院成本管理问题，探索一条切实可行的成本管理之路，根据我院在全国的位置，努力实现成本管理在全国领先作为奋斗的方向。</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为此，我们确立了三个目标：一要设计科学的成本核算体系，要具有科学性和先进性，采用管理会计的工具方法，包括作业成本法、</w:t>
      </w:r>
      <w:proofErr w:type="gramStart"/>
      <w:r>
        <w:rPr>
          <w:rFonts w:ascii="仿宋_GB2312" w:eastAsia="仿宋_GB2312" w:hint="eastAsia"/>
          <w:sz w:val="32"/>
          <w:szCs w:val="32"/>
        </w:rPr>
        <w:t>本量利分析</w:t>
      </w:r>
      <w:proofErr w:type="gramEnd"/>
      <w:r>
        <w:rPr>
          <w:rFonts w:ascii="仿宋_GB2312" w:eastAsia="仿宋_GB2312" w:hint="eastAsia"/>
          <w:sz w:val="32"/>
          <w:szCs w:val="32"/>
        </w:rPr>
        <w:t>法、标准成本法等来实现，成本核算体系设计具有在全国医院普遍适应的特点；二要采用信息化的手段，实现全网络管理，通过构建强大的网络，实现成本大数据管理，有效支持决策；三要</w:t>
      </w:r>
      <w:proofErr w:type="gramStart"/>
      <w:r>
        <w:rPr>
          <w:rFonts w:ascii="仿宋_GB2312" w:eastAsia="仿宋_GB2312" w:hint="eastAsia"/>
          <w:sz w:val="32"/>
          <w:szCs w:val="32"/>
        </w:rPr>
        <w:t>采用业财融合</w:t>
      </w:r>
      <w:proofErr w:type="gramEnd"/>
      <w:r>
        <w:rPr>
          <w:rFonts w:ascii="仿宋_GB2312" w:eastAsia="仿宋_GB2312" w:hint="eastAsia"/>
          <w:sz w:val="32"/>
          <w:szCs w:val="32"/>
        </w:rPr>
        <w:t>的方式，实现财务部门和业务部门深度融合，确保成本核算战略的落地，实现成本“算管结合，算为管用”。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为此，我们构建了基于浏览器B</w:t>
      </w:r>
      <w:r>
        <w:rPr>
          <w:rFonts w:ascii="仿宋_GB2312" w:eastAsia="仿宋_GB2312"/>
          <w:sz w:val="32"/>
          <w:szCs w:val="32"/>
        </w:rPr>
        <w:t>/S</w:t>
      </w:r>
      <w:r>
        <w:rPr>
          <w:rFonts w:ascii="仿宋_GB2312" w:eastAsia="仿宋_GB2312" w:hint="eastAsia"/>
          <w:sz w:val="32"/>
          <w:szCs w:val="32"/>
        </w:rPr>
        <w:t>和客户机、服务器C/S相结合的庞大的成本核算系统，把财务部门和医院所有科室连接在一起，按照三步走的战略，完成了各阶段目标：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完成科室成本核算体系设计与有效实施。项目组采用管理会计工具方法，采用</w:t>
      </w:r>
      <w:proofErr w:type="gramStart"/>
      <w:r>
        <w:rPr>
          <w:rFonts w:ascii="仿宋_GB2312" w:eastAsia="仿宋_GB2312" w:hint="eastAsia"/>
          <w:sz w:val="32"/>
          <w:szCs w:val="32"/>
        </w:rPr>
        <w:t>本量利</w:t>
      </w:r>
      <w:proofErr w:type="gramEnd"/>
      <w:r>
        <w:rPr>
          <w:rFonts w:ascii="仿宋_GB2312" w:eastAsia="仿宋_GB2312" w:hint="eastAsia"/>
          <w:sz w:val="32"/>
          <w:szCs w:val="32"/>
        </w:rPr>
        <w:t>等分析方法，创建了科室成本核算体系和科室业绩评价系统，科学反映科室收入和成本信息，在全国创造性的完成了由计算机自动化完成科室经济运行报告，实现了科室经济运行报告的智能化管理，属于国内领先。（注：2016年</w:t>
      </w:r>
      <w:r>
        <w:rPr>
          <w:rFonts w:ascii="仿宋_GB2312" w:eastAsia="仿宋_GB2312" w:hint="eastAsia"/>
          <w:sz w:val="32"/>
          <w:szCs w:val="32"/>
        </w:rPr>
        <w:lastRenderedPageBreak/>
        <w:t>本项目组研发的“智能化财务分析”荣获上海国家会计学院和中国会计报联合颁发的“第二届管理会计创新实践奖”，具有全自动产生财务分析报告的强大功能，在本项目中进一步扩展升级应用于科室成本管理领域）</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完成</w:t>
      </w:r>
      <w:r>
        <w:rPr>
          <w:rFonts w:ascii="仿宋_GB2312" w:eastAsia="仿宋_GB2312"/>
          <w:sz w:val="32"/>
          <w:szCs w:val="32"/>
        </w:rPr>
        <w:t>项目成本</w:t>
      </w:r>
      <w:r>
        <w:rPr>
          <w:rFonts w:ascii="仿宋_GB2312" w:eastAsia="仿宋_GB2312" w:hint="eastAsia"/>
          <w:sz w:val="32"/>
          <w:szCs w:val="32"/>
        </w:rPr>
        <w:t>核算体系设计并有效实施。采用作业成本</w:t>
      </w:r>
      <w:proofErr w:type="gramStart"/>
      <w:r>
        <w:rPr>
          <w:rFonts w:ascii="仿宋_GB2312" w:eastAsia="仿宋_GB2312" w:hint="eastAsia"/>
          <w:sz w:val="32"/>
          <w:szCs w:val="32"/>
        </w:rPr>
        <w:t>法完成</w:t>
      </w:r>
      <w:proofErr w:type="gramEnd"/>
      <w:r>
        <w:rPr>
          <w:rFonts w:ascii="仿宋_GB2312" w:eastAsia="仿宋_GB2312" w:hint="eastAsia"/>
          <w:sz w:val="32"/>
          <w:szCs w:val="32"/>
        </w:rPr>
        <w:t>了医疗服务项目成本核算体系，能够对医院上万种的医疗服务项目进行精细化核算，计算项目收益。</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3.完成</w:t>
      </w:r>
      <w:r>
        <w:rPr>
          <w:rFonts w:ascii="仿宋_GB2312" w:eastAsia="仿宋_GB2312"/>
          <w:sz w:val="32"/>
          <w:szCs w:val="32"/>
        </w:rPr>
        <w:t>病种成本</w:t>
      </w:r>
      <w:r>
        <w:rPr>
          <w:rFonts w:ascii="仿宋_GB2312" w:eastAsia="仿宋_GB2312" w:hint="eastAsia"/>
          <w:sz w:val="32"/>
          <w:szCs w:val="32"/>
        </w:rPr>
        <w:t>核算体系设计并有效实施。在完成项目成本核算的基础上，按照制度要求，采用叠加法完成病种成本核算，科学反映病种收益水平。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目前，我院成本核算体系设计科学，系统运转平稳，成本核算结果每月定期发布，对于指导临床科室发展，降低科室成本，实现科学管理，发挥了重要作用，全面成本管理总体上在全国居于领先地位。</w:t>
      </w:r>
    </w:p>
    <w:p w:rsidR="002C02E6" w:rsidRDefault="00C917C2">
      <w:pPr>
        <w:pStyle w:val="2"/>
        <w:ind w:firstLine="643"/>
        <w:rPr>
          <w:rFonts w:ascii="仿宋_GB2312" w:eastAsia="仿宋_GB2312"/>
        </w:rPr>
      </w:pPr>
      <w:bookmarkStart w:id="4" w:name="_Toc517177959"/>
      <w:r>
        <w:rPr>
          <w:rFonts w:ascii="仿宋_GB2312" w:eastAsia="仿宋_GB2312" w:hint="eastAsia"/>
        </w:rPr>
        <w:t>四、开展医院成本核算的创新点</w:t>
      </w:r>
      <w:bookmarkEnd w:id="4"/>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1.基于网络</w:t>
      </w:r>
      <w:proofErr w:type="gramStart"/>
      <w:r>
        <w:rPr>
          <w:rFonts w:ascii="仿宋_GB2312" w:eastAsia="仿宋_GB2312" w:hint="eastAsia"/>
          <w:sz w:val="32"/>
          <w:szCs w:val="32"/>
        </w:rPr>
        <w:t>实现业财</w:t>
      </w:r>
      <w:proofErr w:type="gramEnd"/>
      <w:r>
        <w:rPr>
          <w:rFonts w:ascii="仿宋_GB2312" w:eastAsia="仿宋_GB2312" w:hint="eastAsia"/>
          <w:sz w:val="32"/>
          <w:szCs w:val="32"/>
        </w:rPr>
        <w:t>深度融合</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本项目跟踪国家</w:t>
      </w:r>
      <w:proofErr w:type="gramStart"/>
      <w:r>
        <w:rPr>
          <w:rFonts w:ascii="仿宋_GB2312" w:eastAsia="仿宋_GB2312" w:hint="eastAsia"/>
          <w:sz w:val="32"/>
          <w:szCs w:val="32"/>
        </w:rPr>
        <w:t>医</w:t>
      </w:r>
      <w:proofErr w:type="gramEnd"/>
      <w:r>
        <w:rPr>
          <w:rFonts w:ascii="仿宋_GB2312" w:eastAsia="仿宋_GB2312" w:hint="eastAsia"/>
          <w:sz w:val="32"/>
          <w:szCs w:val="32"/>
        </w:rPr>
        <w:t>改进程，先后设计研发了科室成本核算、医疗服务项目成本核算和病种成本核算，针对科室多、管理复杂、项目多、工作量大的实际情况，创新工作模式，持续改进，实现了基于网络、动态互动、</w:t>
      </w:r>
      <w:proofErr w:type="gramStart"/>
      <w:r>
        <w:rPr>
          <w:rFonts w:ascii="仿宋_GB2312" w:eastAsia="仿宋_GB2312" w:hint="eastAsia"/>
          <w:sz w:val="32"/>
          <w:szCs w:val="32"/>
        </w:rPr>
        <w:t>业财深度</w:t>
      </w:r>
      <w:proofErr w:type="gramEnd"/>
      <w:r>
        <w:rPr>
          <w:rFonts w:ascii="仿宋_GB2312" w:eastAsia="仿宋_GB2312" w:hint="eastAsia"/>
          <w:sz w:val="32"/>
          <w:szCs w:val="32"/>
        </w:rPr>
        <w:t>融合的成本管理新模式，较好的完成了全面成本核算体系的构建，并在医院得到深度应用。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 xml:space="preserve">本项目独创科室经济运行报告自动发布机制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科室经济运行报告采用“智能化”技术，每月由计算机自动完成300个临床科室的经济运行报告并发布到财务部网站，对科室经济运行包括收入、成本等指标进行图文并茂的详细的分析，供临床科室下载查看，指导管理，系国内首创。</w:t>
      </w:r>
    </w:p>
    <w:p w:rsidR="002C02E6" w:rsidRDefault="00C917C2">
      <w:pPr>
        <w:spacing w:line="600" w:lineRule="exact"/>
        <w:ind w:firstLineChars="200" w:firstLine="640"/>
        <w:rPr>
          <w:rFonts w:ascii="仿宋_GB2312" w:eastAsia="仿宋_GB2312"/>
          <w:b/>
          <w:bCs/>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建立了成本管理长效机制，有利于战略成本管理的落地</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成本管理的目的是“算管结合、算为管用”的，最终目的是为了改进工作、降低成本。成本核算是一项非常困难、工作量大的工作，需要临床的密切配合，我们采用了网站形式，简化了数据采集的难度，通过建立和临床科室的双向互动机制，及时的将核算的成本信息向临床科室反馈，调动了临床科室成本管理的积极性，初步实现了医院和科室“靠数字说话、靠数字管理、靠数字决策、靠数字创新”的成本管理理念，实现了成本管理长效机制，有利于战略成本管理的落地。</w:t>
      </w:r>
    </w:p>
    <w:p w:rsidR="002C02E6" w:rsidRDefault="00C917C2">
      <w:pPr>
        <w:pStyle w:val="2"/>
        <w:ind w:firstLine="643"/>
        <w:rPr>
          <w:rFonts w:ascii="仿宋_GB2312" w:eastAsia="仿宋_GB2312"/>
        </w:rPr>
      </w:pPr>
      <w:bookmarkStart w:id="5" w:name="_Toc517177960"/>
      <w:r>
        <w:rPr>
          <w:rFonts w:ascii="仿宋_GB2312" w:eastAsia="仿宋_GB2312" w:hint="eastAsia"/>
        </w:rPr>
        <w:t>五、开展医院成本核算取得的效果</w:t>
      </w:r>
      <w:bookmarkEnd w:id="5"/>
    </w:p>
    <w:p w:rsidR="002C02E6" w:rsidRDefault="00C917C2">
      <w:pPr>
        <w:spacing w:line="600" w:lineRule="exact"/>
        <w:ind w:firstLineChars="200" w:firstLine="640"/>
        <w:rPr>
          <w:rFonts w:ascii="仿宋_GB2312" w:eastAsia="仿宋_GB2312"/>
          <w:sz w:val="32"/>
          <w:szCs w:val="32"/>
        </w:rPr>
      </w:pPr>
      <w:r>
        <w:rPr>
          <w:rFonts w:ascii="仿宋_GB2312" w:eastAsia="仿宋_GB2312"/>
          <w:bCs/>
          <w:sz w:val="32"/>
          <w:szCs w:val="32"/>
        </w:rPr>
        <w:t>1.</w:t>
      </w:r>
      <w:r>
        <w:rPr>
          <w:rFonts w:ascii="仿宋_GB2312" w:eastAsia="仿宋_GB2312" w:hint="eastAsia"/>
          <w:sz w:val="32"/>
          <w:szCs w:val="32"/>
        </w:rPr>
        <w:t>优化医院收入结构</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本项目通过精细化成本核算提升了医院收益水平，医院由粗放式管理转变为更加关注内涵式增长，实现科学管理，一定程度上改变了过去重数量不重质量现象。</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广泛应用于管理层决策</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成本管理实现了信息化管理，医院财务部门每月出具医院、科室成本数据报告，</w:t>
      </w:r>
      <w:proofErr w:type="gramStart"/>
      <w:r>
        <w:rPr>
          <w:rFonts w:ascii="仿宋_GB2312" w:eastAsia="仿宋_GB2312" w:hint="eastAsia"/>
          <w:sz w:val="32"/>
          <w:szCs w:val="32"/>
        </w:rPr>
        <w:t>供管理</w:t>
      </w:r>
      <w:proofErr w:type="gramEnd"/>
      <w:r>
        <w:rPr>
          <w:rFonts w:ascii="仿宋_GB2312" w:eastAsia="仿宋_GB2312" w:hint="eastAsia"/>
          <w:sz w:val="32"/>
          <w:szCs w:val="32"/>
        </w:rPr>
        <w:t>层决策，并由财务部门每月在</w:t>
      </w:r>
      <w:proofErr w:type="gramStart"/>
      <w:r>
        <w:rPr>
          <w:rFonts w:ascii="仿宋_GB2312" w:eastAsia="仿宋_GB2312" w:hint="eastAsia"/>
          <w:sz w:val="32"/>
          <w:szCs w:val="32"/>
        </w:rPr>
        <w:t>院各级</w:t>
      </w:r>
      <w:proofErr w:type="gramEnd"/>
      <w:r>
        <w:rPr>
          <w:rFonts w:ascii="仿宋_GB2312" w:eastAsia="仿宋_GB2312" w:hint="eastAsia"/>
          <w:sz w:val="32"/>
          <w:szCs w:val="32"/>
        </w:rPr>
        <w:t>会议上对医院经济运营数据进行点评，指导医院、科室决策，努</w:t>
      </w:r>
      <w:r>
        <w:rPr>
          <w:rFonts w:ascii="仿宋_GB2312" w:eastAsia="仿宋_GB2312" w:hint="eastAsia"/>
          <w:sz w:val="32"/>
          <w:szCs w:val="32"/>
        </w:rPr>
        <w:lastRenderedPageBreak/>
        <w:t>力降低运营成本，提升收益水平。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广泛应用于临床科室改进管理</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科室经济运行报告调动了各临床科室管理积极性，各科室养成了定期查看下载科室经济运行报告的习惯，一定程度上有针对性的改进了科室管理，提升科室收益水平。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总之，在</w:t>
      </w:r>
      <w:proofErr w:type="gramStart"/>
      <w:r>
        <w:rPr>
          <w:rFonts w:ascii="仿宋_GB2312" w:eastAsia="仿宋_GB2312" w:hint="eastAsia"/>
          <w:sz w:val="32"/>
          <w:szCs w:val="32"/>
        </w:rPr>
        <w:t>医</w:t>
      </w:r>
      <w:proofErr w:type="gramEnd"/>
      <w:r>
        <w:rPr>
          <w:rFonts w:ascii="仿宋_GB2312" w:eastAsia="仿宋_GB2312" w:hint="eastAsia"/>
          <w:sz w:val="32"/>
          <w:szCs w:val="32"/>
        </w:rPr>
        <w:t>改的大背景下，本项目组在成本管理领域，应用了管理会计的工具方法，设计了成本管理解决方案，比较好的解决了医院成本核算问题，成本核算体系具有在全国普遍适应的特点，推动了医院内涵式发展，有利于降低医院运营成本，提高医院收益水平，为人民群众更好的提供医疗服务，推动医院快速、高效、健康发展。</w:t>
      </w:r>
    </w:p>
    <w:p w:rsidR="002C02E6" w:rsidRDefault="00C917C2">
      <w:pPr>
        <w:pStyle w:val="1"/>
        <w:rPr>
          <w:rFonts w:ascii="黑体" w:eastAsia="黑体"/>
          <w:sz w:val="32"/>
          <w:szCs w:val="32"/>
        </w:rPr>
      </w:pPr>
      <w:r>
        <w:rPr>
          <w:rFonts w:ascii="仿宋_GB2312" w:eastAsia="仿宋_GB2312"/>
          <w:sz w:val="32"/>
          <w:szCs w:val="32"/>
        </w:rPr>
        <w:br w:type="page"/>
      </w:r>
      <w:bookmarkStart w:id="6" w:name="_Toc517177961"/>
      <w:r>
        <w:rPr>
          <w:rFonts w:ascii="黑体" w:eastAsia="黑体" w:hint="eastAsia"/>
          <w:sz w:val="32"/>
          <w:szCs w:val="32"/>
        </w:rPr>
        <w:lastRenderedPageBreak/>
        <w:t>第三部分  案例正文</w:t>
      </w:r>
      <w:bookmarkEnd w:id="6"/>
    </w:p>
    <w:p w:rsidR="002C02E6" w:rsidRDefault="00C917C2">
      <w:pPr>
        <w:pStyle w:val="2"/>
        <w:ind w:firstLine="643"/>
        <w:rPr>
          <w:rFonts w:ascii="黑体" w:eastAsia="黑体"/>
        </w:rPr>
      </w:pPr>
      <w:bookmarkStart w:id="7" w:name="_Toc517177962"/>
      <w:r>
        <w:rPr>
          <w:rFonts w:ascii="黑体" w:eastAsia="黑体" w:hint="eastAsia"/>
        </w:rPr>
        <w:t>一、背景描述</w:t>
      </w:r>
      <w:bookmarkEnd w:id="7"/>
    </w:p>
    <w:p w:rsidR="002C02E6" w:rsidRDefault="00C917C2">
      <w:pPr>
        <w:pStyle w:val="3"/>
        <w:ind w:firstLine="643"/>
        <w:rPr>
          <w:rFonts w:ascii="仿宋_GB2312" w:eastAsia="仿宋_GB2312"/>
        </w:rPr>
      </w:pPr>
      <w:bookmarkStart w:id="8" w:name="_Toc517177963"/>
      <w:r>
        <w:rPr>
          <w:rFonts w:ascii="仿宋_GB2312" w:eastAsia="仿宋_GB2312" w:hint="eastAsia"/>
        </w:rPr>
        <w:t>（一）单位基本情况</w:t>
      </w:r>
      <w:bookmarkEnd w:id="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青岛大学附属医院是省属事业单位, 属于医疗卫生行业，主营业务医疗、教学、科研、预防、保健、康复业务技术指导为一体的省属大型综合性三级甲等医院。医院属于公益性非营利事业单位，属于青岛大学，由山东省卫计委直管。</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管控模式：医院实行了法人制度改革，设理事会、监事会和管理层，理事长是医院法人，院长负责日常经营管理。</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单位规模：医院是山东半岛最大的综合性医疗集团之一，有市南、市北、黄岛、崂山四个院区，开放床位4000张，职工人数6500人，主要承担山东半岛内外地区人民群众医疗服务，2017年营业额55.8亿元，居全国医院前列，门诊量497万，居山东省第1位，全国第8位，连续多年位列“中国最佳医院百强榜”，是中国位居前列的大型医疗集团。</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医院经过百年发展，具有雄厚的技术力量和高超的医疗技术水平，在人民群众中有良好的美誉度，目前处于成熟期稳步发展阶段。</w:t>
      </w:r>
    </w:p>
    <w:p w:rsidR="002C02E6" w:rsidRDefault="00C917C2">
      <w:pPr>
        <w:pStyle w:val="3"/>
        <w:ind w:firstLine="643"/>
        <w:rPr>
          <w:rFonts w:ascii="仿宋_GB2312" w:eastAsia="仿宋_GB2312"/>
        </w:rPr>
      </w:pPr>
      <w:bookmarkStart w:id="9" w:name="_Toc517177964"/>
      <w:r>
        <w:rPr>
          <w:rFonts w:ascii="仿宋_GB2312" w:eastAsia="仿宋_GB2312" w:hint="eastAsia"/>
        </w:rPr>
        <w:t>（二）单位管理现状分析和存在的主要问题</w:t>
      </w:r>
      <w:bookmarkEnd w:id="9"/>
    </w:p>
    <w:p w:rsidR="002C02E6" w:rsidRDefault="00C917C2">
      <w:pPr>
        <w:pStyle w:val="4"/>
        <w:ind w:firstLine="640"/>
      </w:pPr>
      <w:r>
        <w:rPr>
          <w:rFonts w:ascii="仿宋_GB2312" w:eastAsia="仿宋_GB2312" w:hAnsi="Calibri" w:hint="eastAsia"/>
          <w:bCs w:val="0"/>
          <w:sz w:val="32"/>
          <w:szCs w:val="32"/>
        </w:rPr>
        <w:t>1</w:t>
      </w:r>
      <w:r>
        <w:rPr>
          <w:rFonts w:ascii="仿宋_GB2312" w:eastAsia="仿宋_GB2312" w:hAnsi="Calibri"/>
          <w:bCs w:val="0"/>
          <w:sz w:val="32"/>
          <w:szCs w:val="32"/>
        </w:rPr>
        <w:t>.</w:t>
      </w:r>
      <w:r>
        <w:rPr>
          <w:rFonts w:ascii="仿宋_GB2312" w:eastAsia="仿宋_GB2312" w:hAnsi="Calibri" w:hint="eastAsia"/>
          <w:bCs w:val="0"/>
          <w:sz w:val="32"/>
          <w:szCs w:val="32"/>
        </w:rPr>
        <w:t>单位管理现状分析</w:t>
      </w:r>
    </w:p>
    <w:p w:rsidR="002C02E6" w:rsidRDefault="00C917C2">
      <w:pPr>
        <w:ind w:left="220" w:firstLine="42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医院发展也面临着成本问题</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医院是公益性事业单位，向人民群众提供医疗服务，是非营</w:t>
      </w:r>
      <w:r>
        <w:rPr>
          <w:rFonts w:ascii="仿宋_GB2312" w:eastAsia="仿宋_GB2312" w:hint="eastAsia"/>
          <w:sz w:val="32"/>
          <w:szCs w:val="32"/>
        </w:rPr>
        <w:lastRenderedPageBreak/>
        <w:t>利性的经济实体，其持续健康发展同样面临着成本问题。医院成本管理是健全医疗服务定价、完善补偿机制、</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以及提高医院运营效率、优化资源配置和加强内部管理的客观需要，也是医院在市场竞争中得以生存和发展的重要保障。可以说，医院成本管理水平的高低代表着经济管理水平的高低，代表着医院竞争力，决定着医院收益能力和服务能力的大小。</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w:t>
      </w:r>
      <w:r>
        <w:rPr>
          <w:rFonts w:ascii="仿宋_GB2312" w:eastAsia="仿宋_GB2312" w:hint="eastAsia"/>
          <w:sz w:val="32"/>
          <w:szCs w:val="32"/>
        </w:rPr>
        <w:t>2</w:t>
      </w:r>
      <w:r>
        <w:rPr>
          <w:rFonts w:ascii="仿宋_GB2312" w:eastAsia="仿宋_GB2312"/>
          <w:sz w:val="32"/>
          <w:szCs w:val="32"/>
        </w:rPr>
        <w:t>)</w:t>
      </w:r>
      <w:proofErr w:type="gramStart"/>
      <w:r>
        <w:rPr>
          <w:rFonts w:ascii="仿宋_GB2312" w:eastAsia="仿宋_GB2312" w:hint="eastAsia"/>
          <w:sz w:val="32"/>
          <w:szCs w:val="32"/>
        </w:rPr>
        <w:t>医</w:t>
      </w:r>
      <w:proofErr w:type="gramEnd"/>
      <w:r>
        <w:rPr>
          <w:rFonts w:ascii="仿宋_GB2312" w:eastAsia="仿宋_GB2312" w:hint="eastAsia"/>
          <w:sz w:val="32"/>
          <w:szCs w:val="32"/>
        </w:rPr>
        <w:t>改对医院成本管理提出了更高的要求</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自2009年国家医药卫生体制改革（简称</w:t>
      </w:r>
      <w:proofErr w:type="gramStart"/>
      <w:r>
        <w:rPr>
          <w:rFonts w:ascii="仿宋_GB2312" w:eastAsia="仿宋_GB2312" w:hint="eastAsia"/>
          <w:sz w:val="32"/>
          <w:szCs w:val="32"/>
        </w:rPr>
        <w:t>医</w:t>
      </w:r>
      <w:proofErr w:type="gramEnd"/>
      <w:r>
        <w:rPr>
          <w:rFonts w:ascii="仿宋_GB2312" w:eastAsia="仿宋_GB2312" w:hint="eastAsia"/>
          <w:sz w:val="32"/>
          <w:szCs w:val="32"/>
        </w:rPr>
        <w:t>改）启动尤其是2015年以来，国家出台一系列</w:t>
      </w:r>
      <w:proofErr w:type="gramStart"/>
      <w:r>
        <w:rPr>
          <w:rFonts w:ascii="仿宋_GB2312" w:eastAsia="仿宋_GB2312" w:hint="eastAsia"/>
          <w:sz w:val="32"/>
          <w:szCs w:val="32"/>
        </w:rPr>
        <w:t>医</w:t>
      </w:r>
      <w:proofErr w:type="gramEnd"/>
      <w:r>
        <w:rPr>
          <w:rFonts w:ascii="仿宋_GB2312" w:eastAsia="仿宋_GB2312" w:hint="eastAsia"/>
          <w:sz w:val="32"/>
          <w:szCs w:val="32"/>
        </w:rPr>
        <w:t>改指导性文件。例如，2015年，国务院办公厅发布《关于城市公立医院综合改革试点的指导意见》，2016年国家卫计委等五部委联合发布《关于印发控制公立医院医疗费用不合理增长的若干意见的通知》，2017年7月国务院办公厅《关于建立现代医院管理制度的指导意见》，</w:t>
      </w:r>
      <w:proofErr w:type="gramStart"/>
      <w:r>
        <w:rPr>
          <w:rFonts w:ascii="仿宋_GB2312" w:eastAsia="仿宋_GB2312" w:hint="eastAsia"/>
          <w:sz w:val="32"/>
          <w:szCs w:val="32"/>
        </w:rPr>
        <w:t>医</w:t>
      </w:r>
      <w:proofErr w:type="gramEnd"/>
      <w:r>
        <w:rPr>
          <w:rFonts w:ascii="仿宋_GB2312" w:eastAsia="仿宋_GB2312" w:hint="eastAsia"/>
          <w:sz w:val="32"/>
          <w:szCs w:val="32"/>
        </w:rPr>
        <w:t>改将“群众受益、公平可及”作为出发点和立足点，解决百姓“看病难、看病贵”问题，建立“维护公益性、调动积极性、保障可持续”的现代公立医院管理制度。</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现代公立医院管理制度的建立包括医院管理体制和运营机制两个方面。从管理体制看，构建政府办医模式，实行“政事分开、管办分离”，从管理机制来看，是通过加强医院管理推进内涵建设，主要包括：</w:t>
      </w:r>
    </w:p>
    <w:p w:rsidR="002C02E6" w:rsidRDefault="00C917C2">
      <w:pPr>
        <w:spacing w:line="600" w:lineRule="exact"/>
        <w:ind w:firstLineChars="177" w:firstLine="566"/>
        <w:rPr>
          <w:rFonts w:ascii="仿宋_GB2312" w:eastAsia="仿宋_GB2312"/>
          <w:sz w:val="32"/>
          <w:szCs w:val="32"/>
        </w:rPr>
      </w:pPr>
      <w:r>
        <w:rPr>
          <w:rFonts w:ascii="仿宋_GB2312" w:eastAsia="仿宋_GB2312" w:hint="eastAsia"/>
          <w:sz w:val="32"/>
          <w:szCs w:val="32"/>
        </w:rPr>
        <w:t>①完善财政补偿方式，落实政府投入责任。</w:t>
      </w:r>
      <w:proofErr w:type="gramStart"/>
      <w:r>
        <w:rPr>
          <w:rFonts w:ascii="仿宋_GB2312" w:eastAsia="仿宋_GB2312" w:hint="eastAsia"/>
          <w:sz w:val="32"/>
          <w:szCs w:val="32"/>
        </w:rPr>
        <w:t>变财政</w:t>
      </w:r>
      <w:proofErr w:type="gramEnd"/>
      <w:r>
        <w:rPr>
          <w:rFonts w:ascii="仿宋_GB2312" w:eastAsia="仿宋_GB2312" w:hint="eastAsia"/>
          <w:sz w:val="32"/>
          <w:szCs w:val="32"/>
        </w:rPr>
        <w:t>补偿、药品补偿和价格补偿三种补偿模式为财政补偿和医疗服务价格补</w:t>
      </w:r>
      <w:r>
        <w:rPr>
          <w:rFonts w:ascii="仿宋_GB2312" w:eastAsia="仿宋_GB2312" w:hint="eastAsia"/>
          <w:sz w:val="32"/>
          <w:szCs w:val="32"/>
        </w:rPr>
        <w:lastRenderedPageBreak/>
        <w:t>偿两种模式。</w:t>
      </w:r>
    </w:p>
    <w:p w:rsidR="002C02E6" w:rsidRDefault="00C917C2">
      <w:pPr>
        <w:spacing w:line="600" w:lineRule="exact"/>
        <w:ind w:firstLineChars="177" w:firstLine="566"/>
        <w:rPr>
          <w:rFonts w:ascii="仿宋_GB2312" w:eastAsia="仿宋_GB2312"/>
          <w:sz w:val="32"/>
          <w:szCs w:val="32"/>
        </w:rPr>
      </w:pPr>
      <w:r>
        <w:rPr>
          <w:rFonts w:ascii="仿宋_GB2312" w:eastAsia="仿宋_GB2312" w:hint="eastAsia"/>
          <w:sz w:val="32"/>
          <w:szCs w:val="32"/>
        </w:rPr>
        <w:t>②取消药品进销差价，破除以药补</w:t>
      </w:r>
      <w:proofErr w:type="gramStart"/>
      <w:r>
        <w:rPr>
          <w:rFonts w:ascii="仿宋_GB2312" w:eastAsia="仿宋_GB2312" w:hint="eastAsia"/>
          <w:sz w:val="32"/>
          <w:szCs w:val="32"/>
        </w:rPr>
        <w:t>医</w:t>
      </w:r>
      <w:proofErr w:type="gramEnd"/>
      <w:r>
        <w:rPr>
          <w:rFonts w:ascii="仿宋_GB2312" w:eastAsia="仿宋_GB2312" w:hint="eastAsia"/>
          <w:sz w:val="32"/>
          <w:szCs w:val="32"/>
        </w:rPr>
        <w:t>，降低虚高药品和耗材价格，医院药品收入取消，需要完善补偿机制建设。</w:t>
      </w:r>
    </w:p>
    <w:p w:rsidR="002C02E6" w:rsidRDefault="00C917C2">
      <w:pPr>
        <w:spacing w:line="600" w:lineRule="exact"/>
        <w:ind w:firstLineChars="177" w:firstLine="566"/>
        <w:rPr>
          <w:rFonts w:ascii="仿宋_GB2312" w:eastAsia="仿宋_GB2312"/>
          <w:sz w:val="32"/>
          <w:szCs w:val="32"/>
        </w:rPr>
      </w:pPr>
      <w:r>
        <w:rPr>
          <w:rFonts w:ascii="仿宋_GB2312" w:eastAsia="仿宋_GB2312" w:hint="eastAsia"/>
          <w:sz w:val="32"/>
          <w:szCs w:val="32"/>
        </w:rPr>
        <w:t>③理顺医疗服务价格形成机制，构建基于收入和成本结构为基础的动态价格调整机制，价格动态调整客观需要核算医疗服务项目成本。</w:t>
      </w:r>
    </w:p>
    <w:p w:rsidR="002C02E6" w:rsidRDefault="00C917C2">
      <w:pPr>
        <w:spacing w:line="600" w:lineRule="exact"/>
        <w:ind w:firstLineChars="177" w:firstLine="566"/>
        <w:rPr>
          <w:rFonts w:ascii="仿宋_GB2312" w:eastAsia="仿宋_GB2312"/>
          <w:sz w:val="32"/>
          <w:szCs w:val="32"/>
        </w:rPr>
      </w:pPr>
      <w:r>
        <w:rPr>
          <w:rFonts w:ascii="仿宋_GB2312" w:eastAsia="仿宋_GB2312" w:hint="eastAsia"/>
          <w:sz w:val="32"/>
          <w:szCs w:val="32"/>
        </w:rPr>
        <w:t>④实行医保支付制度改革，</w:t>
      </w:r>
      <w:proofErr w:type="gramStart"/>
      <w:r>
        <w:rPr>
          <w:rFonts w:ascii="仿宋_GB2312" w:eastAsia="仿宋_GB2312" w:hint="eastAsia"/>
          <w:sz w:val="32"/>
          <w:szCs w:val="32"/>
        </w:rPr>
        <w:t>变按项目</w:t>
      </w:r>
      <w:proofErr w:type="gramEnd"/>
      <w:r>
        <w:rPr>
          <w:rFonts w:ascii="仿宋_GB2312" w:eastAsia="仿宋_GB2312" w:hint="eastAsia"/>
          <w:sz w:val="32"/>
          <w:szCs w:val="32"/>
        </w:rPr>
        <w:t>付费为按病种付费为主、按服务单元付费、按人头付费等复合型付费方式，</w:t>
      </w:r>
      <w:proofErr w:type="gramStart"/>
      <w:r>
        <w:rPr>
          <w:rFonts w:ascii="仿宋_GB2312" w:eastAsia="仿宋_GB2312" w:hint="eastAsia"/>
          <w:sz w:val="32"/>
          <w:szCs w:val="32"/>
        </w:rPr>
        <w:t>鼓励按</w:t>
      </w:r>
      <w:proofErr w:type="gramEnd"/>
      <w:r>
        <w:rPr>
          <w:rFonts w:ascii="仿宋_GB2312" w:eastAsia="仿宋_GB2312" w:hint="eastAsia"/>
          <w:sz w:val="32"/>
          <w:szCs w:val="32"/>
        </w:rPr>
        <w:t>DRGS付费，按病种付费客观上需要核算病种成本。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在这样的背景下，医院发展面临着更大的挑战：</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医院创收能力会受影响。药品差价取消、医用耗材价格下降对医院收益能力产生重大影响，医院发展乃至生存能力受到考验。</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医院新的补偿机制亟待建立。按照</w:t>
      </w:r>
      <w:proofErr w:type="gramStart"/>
      <w:r>
        <w:rPr>
          <w:rFonts w:ascii="仿宋_GB2312" w:eastAsia="仿宋_GB2312" w:hint="eastAsia"/>
          <w:sz w:val="32"/>
          <w:szCs w:val="32"/>
        </w:rPr>
        <w:t>医</w:t>
      </w:r>
      <w:proofErr w:type="gramEnd"/>
      <w:r>
        <w:rPr>
          <w:rFonts w:ascii="仿宋_GB2312" w:eastAsia="仿宋_GB2312" w:hint="eastAsia"/>
          <w:sz w:val="32"/>
          <w:szCs w:val="32"/>
        </w:rPr>
        <w:t>改要求，公立医院取消药品收入，补偿渠道通过医疗收费和财政补助解决，而财政补助有限，为了解决百姓“看病贵”问题，医疗服务价格也不能大幅提升，公立医院亟待建立新的经济运行补偿机制。</w:t>
      </w:r>
    </w:p>
    <w:p w:rsidR="002C02E6" w:rsidRDefault="00C917C2">
      <w:pPr>
        <w:spacing w:line="600" w:lineRule="exact"/>
        <w:ind w:firstLineChars="200" w:firstLine="640"/>
        <w:rPr>
          <w:rFonts w:ascii="仿宋_GB2312" w:eastAsia="仿宋_GB2312"/>
          <w:sz w:val="32"/>
          <w:szCs w:val="32"/>
        </w:rPr>
      </w:pP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保支付制度改革对医院发展造成重大影响，按项目付费改为按病种付费和按</w:t>
      </w:r>
      <w:proofErr w:type="spellStart"/>
      <w:r>
        <w:rPr>
          <w:rFonts w:ascii="仿宋_GB2312" w:eastAsia="仿宋_GB2312" w:hint="eastAsia"/>
          <w:sz w:val="32"/>
          <w:szCs w:val="32"/>
        </w:rPr>
        <w:t>DrGS</w:t>
      </w:r>
      <w:proofErr w:type="spellEnd"/>
      <w:r>
        <w:rPr>
          <w:rFonts w:ascii="仿宋_GB2312" w:eastAsia="仿宋_GB2312" w:hint="eastAsia"/>
          <w:sz w:val="32"/>
          <w:szCs w:val="32"/>
        </w:rPr>
        <w:t>付费，客观上要求医院提高开展的医疗服务病种的含金量，降低每一个病种的成本。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医院的经营模式面临挑战。在</w:t>
      </w:r>
      <w:proofErr w:type="gramStart"/>
      <w:r>
        <w:rPr>
          <w:rFonts w:ascii="仿宋_GB2312" w:eastAsia="仿宋_GB2312" w:hint="eastAsia"/>
          <w:sz w:val="32"/>
          <w:szCs w:val="32"/>
        </w:rPr>
        <w:t>医</w:t>
      </w:r>
      <w:proofErr w:type="gramEnd"/>
      <w:r>
        <w:rPr>
          <w:rFonts w:ascii="仿宋_GB2312" w:eastAsia="仿宋_GB2312" w:hint="eastAsia"/>
          <w:sz w:val="32"/>
          <w:szCs w:val="32"/>
        </w:rPr>
        <w:t>改的大背景下，原粗放式的单纯以追求数量增长为特征的管理模式已难以为继，以控制成本为基础的新运营模式亟待建立，要求医院转变经济增长方式，变</w:t>
      </w:r>
      <w:r>
        <w:rPr>
          <w:rFonts w:ascii="仿宋_GB2312" w:eastAsia="仿宋_GB2312" w:hint="eastAsia"/>
          <w:sz w:val="32"/>
          <w:szCs w:val="32"/>
        </w:rPr>
        <w:lastRenderedPageBreak/>
        <w:t>追求数量增长为既注重数量又注重质量的内涵式增长。</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这种新的管理要求，进一步加大了医院运营压力，对医院的精细化管理水平提出了更高的要求。按照各省出台的</w:t>
      </w:r>
      <w:proofErr w:type="gramStart"/>
      <w:r>
        <w:rPr>
          <w:rFonts w:ascii="仿宋_GB2312" w:eastAsia="仿宋_GB2312" w:hint="eastAsia"/>
          <w:sz w:val="32"/>
          <w:szCs w:val="32"/>
        </w:rPr>
        <w:t>医</w:t>
      </w:r>
      <w:proofErr w:type="gramEnd"/>
      <w:r>
        <w:rPr>
          <w:rFonts w:ascii="仿宋_GB2312" w:eastAsia="仿宋_GB2312" w:hint="eastAsia"/>
          <w:sz w:val="32"/>
          <w:szCs w:val="32"/>
        </w:rPr>
        <w:t>改的指导原则，一般采用8：1：1的原则，即实行“总量控制、结构调整”，医疗服务项目收费不会增加，只会在项目之间进行调整，提升技术和劳务类项目价格，降低检查类项目价格，药品、耗材等降低的收入通过医疗服务价格补偿80%，财政补偿10%，剩余10%由医院通过加强成本核算等精细化管理自我消化，成本控制便成为医院管理重点。</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医院管理的特点要求必须加大成本管理</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从目前来看，医院成本管理粗放</w:t>
      </w:r>
      <w:proofErr w:type="gramStart"/>
      <w:r>
        <w:rPr>
          <w:rFonts w:ascii="仿宋_GB2312" w:eastAsia="仿宋_GB2312" w:hint="eastAsia"/>
          <w:sz w:val="32"/>
          <w:szCs w:val="32"/>
        </w:rPr>
        <w:t>式特征</w:t>
      </w:r>
      <w:proofErr w:type="gramEnd"/>
      <w:r>
        <w:rPr>
          <w:rFonts w:ascii="仿宋_GB2312" w:eastAsia="仿宋_GB2312" w:hint="eastAsia"/>
          <w:sz w:val="32"/>
          <w:szCs w:val="32"/>
        </w:rPr>
        <w:t>明显，从全国看，医院精细化程度</w:t>
      </w:r>
      <w:proofErr w:type="gramStart"/>
      <w:r>
        <w:rPr>
          <w:rFonts w:ascii="仿宋_GB2312" w:eastAsia="仿宋_GB2312" w:hint="eastAsia"/>
          <w:sz w:val="32"/>
          <w:szCs w:val="32"/>
        </w:rPr>
        <w:t>较企业</w:t>
      </w:r>
      <w:proofErr w:type="gramEnd"/>
      <w:r>
        <w:rPr>
          <w:rFonts w:ascii="仿宋_GB2312" w:eastAsia="仿宋_GB2312" w:hint="eastAsia"/>
          <w:sz w:val="32"/>
          <w:szCs w:val="32"/>
        </w:rPr>
        <w:t>有较大的差距，一般在10到20年以上，原因在于医院管理体制和运营机制体现“公益性”特征，追逐利润并不是医院发展的目标，院长、科室等各级管理者主要关注运营数量，很少关注经济运行质量，医院成本管理“粗放式”特征明显；再加上财务管理人员业务水平参差不齐，管理意识不强，自我加压能力也不够，创新能力不足，使得对成本进行精细化管理的动力也不足，这种粗放式的管理模式很难正确评价一个医院尤其是科室的经营成果。</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《医院财务制度》要求加大成本精细化管理</w:t>
      </w:r>
    </w:p>
    <w:p w:rsidR="002C02E6" w:rsidRDefault="00C917C2">
      <w:pPr>
        <w:spacing w:line="600" w:lineRule="exact"/>
        <w:ind w:firstLineChars="200" w:firstLine="640"/>
        <w:rPr>
          <w:rFonts w:ascii="ˎ̥" w:hAnsi="ˎ̥" w:hint="eastAsia"/>
          <w:color w:val="000000"/>
        </w:rPr>
      </w:pPr>
      <w:r>
        <w:rPr>
          <w:rFonts w:ascii="仿宋_GB2312" w:eastAsia="仿宋_GB2312" w:hint="eastAsia"/>
          <w:sz w:val="32"/>
          <w:szCs w:val="32"/>
        </w:rPr>
        <w:t>按照《医院财务制度》规定，医院成本主要包括三个对象：科室成本、项目成本和病种成本。对医院成本进行核算具有重大</w:t>
      </w:r>
      <w:r>
        <w:rPr>
          <w:rFonts w:ascii="仿宋_GB2312" w:eastAsia="仿宋_GB2312" w:hint="eastAsia"/>
          <w:sz w:val="32"/>
          <w:szCs w:val="32"/>
        </w:rPr>
        <w:lastRenderedPageBreak/>
        <w:t>意义：</w:t>
      </w:r>
      <w:r>
        <w:rPr>
          <w:rFonts w:ascii="ˎ̥" w:hAnsi="ˎ̥" w:hint="eastAsia"/>
          <w:color w:val="000000"/>
        </w:rPr>
        <w:t xml:space="preserve"> </w:t>
      </w:r>
    </w:p>
    <w:p w:rsidR="002C02E6" w:rsidRDefault="00C917C2">
      <w:pPr>
        <w:pStyle w:val="a9"/>
        <w:spacing w:before="0" w:beforeAutospacing="0" w:after="0" w:afterAutospacing="0" w:line="360" w:lineRule="auto"/>
        <w:ind w:firstLineChars="175" w:firstLine="560"/>
        <w:rPr>
          <w:rFonts w:ascii="仿宋_GB2312" w:eastAsia="仿宋_GB2312" w:hAnsi="Calibri" w:cs="Times New Roman"/>
          <w:kern w:val="2"/>
          <w:sz w:val="32"/>
          <w:szCs w:val="32"/>
        </w:rPr>
      </w:pPr>
      <w:r>
        <w:rPr>
          <w:rFonts w:ascii="仿宋_GB2312" w:eastAsia="仿宋_GB2312" w:hAnsi="Calibri" w:cs="Times New Roman" w:hint="eastAsia"/>
          <w:kern w:val="2"/>
          <w:sz w:val="32"/>
          <w:szCs w:val="32"/>
        </w:rPr>
        <w:t>①开展科室成本核算。可以在了解医院成本的基础上，进一步了解每一个科室的成本耗费状况，有利于建立科学的科室运营评价体系，进一步查找科室成本管理漏洞，改进管理，提高收益水平，增强科室发展活力。</w:t>
      </w:r>
    </w:p>
    <w:p w:rsidR="002C02E6" w:rsidRDefault="00C917C2">
      <w:pPr>
        <w:pStyle w:val="a9"/>
        <w:spacing w:before="0" w:beforeAutospacing="0" w:after="0" w:afterAutospacing="0" w:line="360" w:lineRule="auto"/>
        <w:ind w:firstLineChars="175" w:firstLine="560"/>
        <w:rPr>
          <w:rFonts w:ascii="仿宋_GB2312" w:eastAsia="仿宋_GB2312" w:hAnsi="Calibri" w:cs="Times New Roman"/>
          <w:kern w:val="2"/>
          <w:sz w:val="32"/>
          <w:szCs w:val="32"/>
        </w:rPr>
      </w:pPr>
      <w:r>
        <w:rPr>
          <w:rFonts w:ascii="仿宋_GB2312" w:eastAsia="仿宋_GB2312" w:hAnsi="Calibri" w:cs="Times New Roman" w:hint="eastAsia"/>
          <w:kern w:val="2"/>
          <w:sz w:val="32"/>
          <w:szCs w:val="32"/>
        </w:rPr>
        <w:t>②开展项目成本核算。能够精细化核算科室中每一个医疗服务项目的成本构成及其收益水平，通过详细核算项目的成本，按照</w:t>
      </w:r>
      <w:proofErr w:type="gramStart"/>
      <w:r>
        <w:rPr>
          <w:rFonts w:ascii="仿宋_GB2312" w:eastAsia="仿宋_GB2312" w:hAnsi="Calibri" w:cs="Times New Roman" w:hint="eastAsia"/>
          <w:kern w:val="2"/>
          <w:sz w:val="32"/>
          <w:szCs w:val="32"/>
        </w:rPr>
        <w:t>医改要求</w:t>
      </w:r>
      <w:proofErr w:type="gramEnd"/>
      <w:r>
        <w:rPr>
          <w:rFonts w:ascii="仿宋_GB2312" w:eastAsia="仿宋_GB2312" w:hAnsi="Calibri" w:cs="Times New Roman" w:hint="eastAsia"/>
          <w:kern w:val="2"/>
          <w:sz w:val="32"/>
          <w:szCs w:val="32"/>
        </w:rPr>
        <w:t>建立以收入和成本结构为基础的动态价格调整机制创造条件，也为和价格管理部门谈判确立医疗服务价格提供依据。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③开展病种成本核算。能够精细化核算病种成本构成及病种收益能力，根据收益能力科学开展病种服务；可以应对</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保支付制度改革，为按病种付费提供依据，完善的病种成本信息也为建立和</w:t>
      </w:r>
      <w:proofErr w:type="gramStart"/>
      <w:r>
        <w:rPr>
          <w:rFonts w:ascii="仿宋_GB2312" w:eastAsia="仿宋_GB2312" w:hint="eastAsia"/>
          <w:sz w:val="32"/>
          <w:szCs w:val="32"/>
        </w:rPr>
        <w:t>医保</w:t>
      </w:r>
      <w:proofErr w:type="gramEnd"/>
      <w:r>
        <w:rPr>
          <w:rFonts w:ascii="仿宋_GB2312" w:eastAsia="仿宋_GB2312" w:hint="eastAsia"/>
          <w:sz w:val="32"/>
          <w:szCs w:val="32"/>
        </w:rPr>
        <w:t>部门谈判机制和风险分担机制做好准备；病种成本数据也为绩效考核提供依据，也有利于临床路径的实施，为物价、财政部门出台政策提供依据。</w:t>
      </w:r>
    </w:p>
    <w:p w:rsidR="002C02E6" w:rsidRDefault="00C917C2">
      <w:pPr>
        <w:pStyle w:val="4"/>
        <w:ind w:firstLine="640"/>
        <w:rPr>
          <w:rFonts w:ascii="仿宋_GB2312" w:eastAsia="仿宋_GB2312" w:hAnsi="Calibri"/>
          <w:bCs w:val="0"/>
          <w:sz w:val="32"/>
          <w:szCs w:val="32"/>
        </w:rPr>
      </w:pPr>
      <w:r>
        <w:rPr>
          <w:rFonts w:ascii="仿宋_GB2312" w:eastAsia="仿宋_GB2312" w:hAnsi="Calibri" w:hint="eastAsia"/>
          <w:bCs w:val="0"/>
          <w:sz w:val="32"/>
          <w:szCs w:val="32"/>
        </w:rPr>
        <w:t>2.存在的主要问题</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科室成本核算体系复杂性高</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核算全国大部分医院基本能够开展，但核算体系设计的科学性有待进一步完善，尤其是国内商品化成本核算软件普遍缺乏和实际工作的融合，设计体系不科学、不完善，财务制度要求的三级分摊方式也不完全正确，直接影响了科室成本核算和科室运营成果的评价，可以说，全国医院普遍的存在不能对科室</w:t>
      </w:r>
      <w:r>
        <w:rPr>
          <w:rFonts w:ascii="仿宋_GB2312" w:eastAsia="仿宋_GB2312" w:hint="eastAsia"/>
          <w:sz w:val="32"/>
          <w:szCs w:val="32"/>
        </w:rPr>
        <w:lastRenderedPageBreak/>
        <w:t>运营成果这个简单的指标进行科学的反映的现象。</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作业成本法在项目成本核算中存在难度</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项目成本和病种成本核算在全国医院中更是凤毛麟角，由于其复杂性，再加上全国刚刚启动</w:t>
      </w:r>
      <w:proofErr w:type="gramStart"/>
      <w:r>
        <w:rPr>
          <w:rFonts w:ascii="仿宋_GB2312" w:eastAsia="仿宋_GB2312" w:hint="eastAsia"/>
          <w:sz w:val="32"/>
          <w:szCs w:val="32"/>
        </w:rPr>
        <w:t>医</w:t>
      </w:r>
      <w:proofErr w:type="gramEnd"/>
      <w:r>
        <w:rPr>
          <w:rFonts w:ascii="仿宋_GB2312" w:eastAsia="仿宋_GB2312" w:hint="eastAsia"/>
          <w:sz w:val="32"/>
          <w:szCs w:val="32"/>
        </w:rPr>
        <w:t>改，在全国开展的并不多，个别医院开展了这方面的工作，但由于商品化软件其体系设计（不缺技术只缺思想）有问题，在全国尚没有发现真正成功的案例。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在这样的背景下，能不能创造一种科学的医院全面成本核算体系，解决医院科室成本、项目成本和病种成本核算问题，并进一步构造科学的绩效评价体系，对医院管理是一项很大的挑战。</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w:t>
      </w:r>
      <w:proofErr w:type="gramStart"/>
      <w:r>
        <w:rPr>
          <w:rFonts w:ascii="仿宋_GB2312" w:eastAsia="仿宋_GB2312" w:hint="eastAsia"/>
          <w:sz w:val="32"/>
          <w:szCs w:val="32"/>
        </w:rPr>
        <w:t>医</w:t>
      </w:r>
      <w:proofErr w:type="gramEnd"/>
      <w:r>
        <w:rPr>
          <w:rFonts w:ascii="仿宋_GB2312" w:eastAsia="仿宋_GB2312" w:hint="eastAsia"/>
          <w:sz w:val="32"/>
          <w:szCs w:val="32"/>
        </w:rPr>
        <w:t>改的大背景下，采用管理会计工具，对医院成本进行精细化核算是全国医院普遍存在的客观要求，也是医院管理必须要克服的一个难关。</w:t>
      </w:r>
    </w:p>
    <w:p w:rsidR="002C02E6" w:rsidRDefault="00C917C2">
      <w:pPr>
        <w:pStyle w:val="3"/>
        <w:ind w:firstLine="643"/>
        <w:rPr>
          <w:rFonts w:ascii="仿宋_GB2312" w:eastAsia="仿宋_GB2312"/>
        </w:rPr>
      </w:pPr>
      <w:r>
        <w:rPr>
          <w:rFonts w:ascii="仿宋_GB2312" w:eastAsia="仿宋_GB2312" w:hint="eastAsia"/>
        </w:rPr>
        <w:t>（三）选择相关管理会计工具方法的主要原因</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在财政部</w:t>
      </w:r>
      <w:r>
        <w:rPr>
          <w:rFonts w:ascii="仿宋_GB2312" w:eastAsia="仿宋_GB2312"/>
          <w:sz w:val="32"/>
          <w:szCs w:val="32"/>
        </w:rPr>
        <w:t>财会[2016]10号</w:t>
      </w:r>
      <w:proofErr w:type="gramStart"/>
      <w:r>
        <w:rPr>
          <w:rFonts w:ascii="仿宋_GB2312" w:eastAsia="仿宋_GB2312" w:hint="eastAsia"/>
          <w:sz w:val="32"/>
          <w:szCs w:val="32"/>
        </w:rPr>
        <w:t>《</w:t>
      </w:r>
      <w:proofErr w:type="gramEnd"/>
      <w:r>
        <w:rPr>
          <w:rFonts w:ascii="仿宋_GB2312" w:eastAsia="仿宋_GB2312"/>
          <w:sz w:val="32"/>
          <w:szCs w:val="32"/>
        </w:rPr>
        <w:t>关于印发</w:t>
      </w:r>
      <w:proofErr w:type="gramStart"/>
      <w:r>
        <w:rPr>
          <w:rFonts w:ascii="仿宋_GB2312" w:eastAsia="仿宋_GB2312"/>
          <w:sz w:val="32"/>
          <w:szCs w:val="32"/>
        </w:rPr>
        <w:t>《</w:t>
      </w:r>
      <w:proofErr w:type="gramEnd"/>
      <w:r>
        <w:rPr>
          <w:rFonts w:ascii="仿宋_GB2312" w:eastAsia="仿宋_GB2312"/>
          <w:sz w:val="32"/>
          <w:szCs w:val="32"/>
        </w:rPr>
        <w:t>管理会计基本指引</w:t>
      </w:r>
      <w:proofErr w:type="gramStart"/>
      <w:r>
        <w:rPr>
          <w:rFonts w:ascii="仿宋_GB2312" w:eastAsia="仿宋_GB2312"/>
          <w:sz w:val="32"/>
          <w:szCs w:val="32"/>
        </w:rPr>
        <w:t>》</w:t>
      </w:r>
      <w:proofErr w:type="gramEnd"/>
      <w:r>
        <w:rPr>
          <w:rFonts w:ascii="仿宋_GB2312" w:eastAsia="仿宋_GB2312"/>
          <w:sz w:val="32"/>
          <w:szCs w:val="32"/>
        </w:rPr>
        <w:t>的通知</w:t>
      </w:r>
      <w:proofErr w:type="gramStart"/>
      <w:r>
        <w:rPr>
          <w:rFonts w:ascii="仿宋_GB2312" w:eastAsia="仿宋_GB2312" w:hint="eastAsia"/>
          <w:sz w:val="32"/>
          <w:szCs w:val="32"/>
        </w:rPr>
        <w:t>》</w:t>
      </w:r>
      <w:proofErr w:type="gramEnd"/>
      <w:r>
        <w:rPr>
          <w:rFonts w:ascii="仿宋_GB2312" w:eastAsia="仿宋_GB2312" w:hint="eastAsia"/>
          <w:sz w:val="32"/>
          <w:szCs w:val="32"/>
        </w:rPr>
        <w:t>中，列出了管理会计的工具方法，包括</w:t>
      </w:r>
      <w:r>
        <w:rPr>
          <w:rFonts w:ascii="仿宋_GB2312" w:eastAsia="仿宋_GB2312"/>
          <w:sz w:val="32"/>
          <w:szCs w:val="32"/>
        </w:rPr>
        <w:t>作业成本管理、</w:t>
      </w:r>
      <w:proofErr w:type="gramStart"/>
      <w:r>
        <w:rPr>
          <w:rFonts w:ascii="仿宋_GB2312" w:eastAsia="仿宋_GB2312"/>
          <w:sz w:val="32"/>
          <w:szCs w:val="32"/>
        </w:rPr>
        <w:t>本量利分析</w:t>
      </w:r>
      <w:proofErr w:type="gramEnd"/>
      <w:r>
        <w:rPr>
          <w:rFonts w:ascii="仿宋_GB2312" w:eastAsia="仿宋_GB2312" w:hint="eastAsia"/>
          <w:sz w:val="32"/>
          <w:szCs w:val="32"/>
        </w:rPr>
        <w:t>等方法，可以应用于成本管理。在“管理会计应用指引第300号—成本管理”中，说明了成本管理的原则和成本管理工具方法，成本管理的原则</w:t>
      </w:r>
      <w:proofErr w:type="gramStart"/>
      <w:r>
        <w:rPr>
          <w:rFonts w:ascii="仿宋_GB2312" w:eastAsia="仿宋_GB2312" w:hint="eastAsia"/>
          <w:sz w:val="32"/>
          <w:szCs w:val="32"/>
        </w:rPr>
        <w:t>包括业本融合</w:t>
      </w:r>
      <w:proofErr w:type="gramEnd"/>
      <w:r>
        <w:rPr>
          <w:rFonts w:ascii="仿宋_GB2312" w:eastAsia="仿宋_GB2312" w:hint="eastAsia"/>
          <w:sz w:val="32"/>
          <w:szCs w:val="32"/>
        </w:rPr>
        <w:t>原则、适应性原则、成本效益原则、重要性原则，成本管理工具方法包括标准成本法、目标成本法、变动成本法、作业成本法等，成本管理应用指引和成本管理的方法对于解决医院成本管理问题，探索实现成本精细化管理的路径具有很强的指导意义。</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lastRenderedPageBreak/>
        <w:t>1</w:t>
      </w:r>
      <w:r>
        <w:rPr>
          <w:rFonts w:ascii="仿宋_GB2312" w:eastAsia="仿宋_GB2312" w:hint="eastAsia"/>
          <w:sz w:val="32"/>
          <w:szCs w:val="32"/>
        </w:rPr>
        <w:t>．成本管理应用指引中原则适合于医院成本管理</w:t>
      </w:r>
    </w:p>
    <w:p w:rsidR="002C02E6" w:rsidRDefault="00C917C2">
      <w:pPr>
        <w:spacing w:line="600" w:lineRule="exact"/>
        <w:ind w:firstLineChars="200" w:firstLine="640"/>
        <w:rPr>
          <w:rFonts w:ascii="Arial" w:hAnsi="Arial" w:cs="Arial"/>
          <w:kern w:val="0"/>
          <w:sz w:val="24"/>
          <w:szCs w:val="24"/>
        </w:rPr>
      </w:pPr>
      <w:r>
        <w:rPr>
          <w:rFonts w:ascii="仿宋_GB2312" w:eastAsia="仿宋_GB2312" w:hint="eastAsia"/>
          <w:sz w:val="32"/>
          <w:szCs w:val="32"/>
        </w:rPr>
        <w:t>现在财务管理的方向</w:t>
      </w:r>
      <w:proofErr w:type="gramStart"/>
      <w:r>
        <w:rPr>
          <w:rFonts w:ascii="仿宋_GB2312" w:eastAsia="仿宋_GB2312" w:hint="eastAsia"/>
          <w:sz w:val="32"/>
          <w:szCs w:val="32"/>
        </w:rPr>
        <w:t>是业财融合</w:t>
      </w:r>
      <w:proofErr w:type="gramEnd"/>
      <w:r>
        <w:rPr>
          <w:rFonts w:ascii="仿宋_GB2312" w:eastAsia="仿宋_GB2312" w:hint="eastAsia"/>
          <w:sz w:val="32"/>
          <w:szCs w:val="32"/>
        </w:rPr>
        <w:t xml:space="preserve">、财务共享，要解决医院的成本管理问题，决不能是财务一个部门的事情，不许和业务结合，和临床结合才能实现成本的“算为管用、算管结合”，也就是财务必须和临床结成合作伙伴，一起发力，才能真正实现成本管理的效果，才能建立成本管理的长效机制，真正实现成本管理的意义。在成本核算的过程中同时遵循适应性原则,对科室成本、项目成本和兵种成本进行核算，并确定不同的成本计算方法，在核算过程中遵循成本效益原则和重要性原则，重点管理对成本有重大影响的项目，同时避免获得的收益大于其投入的成本。 </w:t>
      </w:r>
    </w:p>
    <w:p w:rsidR="002C02E6" w:rsidRDefault="00C917C2">
      <w:pPr>
        <w:spacing w:line="600" w:lineRule="exact"/>
        <w:ind w:firstLineChars="200" w:firstLine="640"/>
        <w:rPr>
          <w:rFonts w:ascii="Arial" w:hAnsi="Arial" w:cs="Arial"/>
          <w:kern w:val="0"/>
          <w:sz w:val="24"/>
          <w:szCs w:val="24"/>
        </w:rPr>
      </w:pPr>
      <w:r>
        <w:rPr>
          <w:rFonts w:ascii="仿宋_GB2312" w:eastAsia="仿宋_GB2312"/>
          <w:sz w:val="32"/>
          <w:szCs w:val="32"/>
        </w:rPr>
        <w:t>2、</w:t>
      </w:r>
      <w:r>
        <w:rPr>
          <w:rFonts w:ascii="仿宋_GB2312" w:eastAsia="仿宋_GB2312" w:hint="eastAsia"/>
          <w:sz w:val="32"/>
          <w:szCs w:val="32"/>
        </w:rPr>
        <w:t>成本管理工具方法适合于医院的成本管理</w:t>
      </w:r>
    </w:p>
    <w:p w:rsidR="002C02E6" w:rsidRDefault="00C917C2">
      <w:pPr>
        <w:spacing w:line="600" w:lineRule="exact"/>
        <w:ind w:firstLineChars="200" w:firstLine="640"/>
        <w:rPr>
          <w:rFonts w:ascii="Arial" w:hAnsi="Arial" w:cs="Arial"/>
          <w:kern w:val="0"/>
          <w:sz w:val="24"/>
          <w:szCs w:val="24"/>
        </w:rPr>
      </w:pPr>
      <w:r>
        <w:rPr>
          <w:rFonts w:ascii="仿宋_GB2312" w:eastAsia="仿宋_GB2312" w:hint="eastAsia"/>
          <w:sz w:val="32"/>
          <w:szCs w:val="32"/>
        </w:rPr>
        <w:t>管理会计的工具方法中，主要包括标准成本法、目标成本法、变动成本法、作业成本法等。这几种方法都可以在医院成本核算中应用，例如标准成本法和目标成本法可以用来确定办公费、水电费等成本确定，变动成本法可以应用于和业务量有关的成本项目，而作业成本法更是针对医院管理的特点，成为了医院医疗服务项目成本核算的最重要方法。</w:t>
      </w:r>
    </w:p>
    <w:p w:rsidR="002C02E6" w:rsidRDefault="00C917C2">
      <w:pPr>
        <w:pStyle w:val="2"/>
        <w:ind w:firstLine="643"/>
        <w:rPr>
          <w:rFonts w:ascii="黑体" w:eastAsia="黑体"/>
        </w:rPr>
      </w:pPr>
      <w:bookmarkStart w:id="10" w:name="_Toc517177965"/>
      <w:r>
        <w:rPr>
          <w:rFonts w:ascii="黑体" w:eastAsia="黑体" w:hint="eastAsia"/>
        </w:rPr>
        <w:t>二、总体设计</w:t>
      </w:r>
      <w:bookmarkEnd w:id="1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全面介绍应用相关管理会计工具方法的总体设计和部署，此部分内容至少应包括：</w:t>
      </w:r>
    </w:p>
    <w:p w:rsidR="002C02E6" w:rsidRDefault="00C917C2">
      <w:pPr>
        <w:pStyle w:val="3"/>
        <w:ind w:firstLine="643"/>
        <w:rPr>
          <w:rFonts w:ascii="仿宋_GB2312" w:eastAsia="仿宋_GB2312"/>
        </w:rPr>
      </w:pPr>
      <w:bookmarkStart w:id="11" w:name="_Toc517177966"/>
      <w:r>
        <w:rPr>
          <w:rFonts w:ascii="仿宋_GB2312" w:eastAsia="仿宋_GB2312" w:hint="eastAsia"/>
        </w:rPr>
        <w:lastRenderedPageBreak/>
        <w:t>（一）应用相关管理会计工具方法的目标</w:t>
      </w:r>
      <w:bookmarkEnd w:id="11"/>
    </w:p>
    <w:p w:rsidR="002C02E6" w:rsidRDefault="00C917C2">
      <w:pPr>
        <w:pStyle w:val="4"/>
        <w:ind w:firstLine="640"/>
        <w:rPr>
          <w:rFonts w:ascii="仿宋_GB2312" w:eastAsia="仿宋_GB2312"/>
          <w:sz w:val="32"/>
          <w:szCs w:val="32"/>
        </w:rPr>
      </w:pPr>
      <w:r>
        <w:rPr>
          <w:rFonts w:ascii="仿宋_GB2312" w:eastAsia="仿宋_GB2312" w:hint="eastAsia"/>
          <w:sz w:val="32"/>
          <w:szCs w:val="32"/>
        </w:rPr>
        <w:t>1.应用作业成本法的目标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应用作业成本法解决医院医疗服务项目成本的核算，医疗服务项目的成本包括耗用的人员费用、药品费用、卫生材料费用、固定资产折旧费用、无形资产摊销费、医疗风险基金和其他费用。按照应用管理会计的成本效益原则，应用作业成本法主要用于人员经费的核算。</w:t>
      </w:r>
    </w:p>
    <w:p w:rsidR="002C02E6" w:rsidRDefault="00C917C2">
      <w:pPr>
        <w:pStyle w:val="4"/>
        <w:ind w:firstLine="640"/>
        <w:rPr>
          <w:rFonts w:ascii="仿宋_GB2312" w:eastAsia="仿宋_GB2312"/>
          <w:sz w:val="32"/>
          <w:szCs w:val="32"/>
        </w:rPr>
      </w:pPr>
      <w:r>
        <w:rPr>
          <w:rFonts w:ascii="仿宋_GB2312" w:eastAsia="仿宋_GB2312" w:hint="eastAsia"/>
          <w:sz w:val="32"/>
          <w:szCs w:val="32"/>
        </w:rPr>
        <w:t>2.应用</w:t>
      </w:r>
      <w:proofErr w:type="gramStart"/>
      <w:r>
        <w:rPr>
          <w:rFonts w:ascii="仿宋_GB2312" w:eastAsia="仿宋_GB2312" w:hint="eastAsia"/>
          <w:sz w:val="32"/>
          <w:szCs w:val="32"/>
        </w:rPr>
        <w:t>本量利分析</w:t>
      </w:r>
      <w:proofErr w:type="gramEnd"/>
      <w:r>
        <w:rPr>
          <w:rFonts w:ascii="仿宋_GB2312" w:eastAsia="仿宋_GB2312" w:hint="eastAsia"/>
          <w:sz w:val="32"/>
          <w:szCs w:val="32"/>
        </w:rPr>
        <w:t>的目标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应用</w:t>
      </w:r>
      <w:proofErr w:type="gramStart"/>
      <w:r>
        <w:rPr>
          <w:rFonts w:ascii="仿宋_GB2312" w:eastAsia="仿宋_GB2312" w:hint="eastAsia"/>
          <w:sz w:val="32"/>
          <w:szCs w:val="32"/>
        </w:rPr>
        <w:t>本量利管理</w:t>
      </w:r>
      <w:proofErr w:type="gramEnd"/>
      <w:r>
        <w:rPr>
          <w:rFonts w:ascii="仿宋_GB2312" w:eastAsia="仿宋_GB2312" w:hint="eastAsia"/>
          <w:sz w:val="32"/>
          <w:szCs w:val="32"/>
        </w:rPr>
        <w:t>会计工具方法用来核算科室每诊次成本、每住院人次成本和服务量之间的关系，用来核算医疗服务项目盈亏临界点，实现科学管理。</w:t>
      </w:r>
    </w:p>
    <w:p w:rsidR="002C02E6" w:rsidRDefault="00C917C2">
      <w:pPr>
        <w:pStyle w:val="4"/>
        <w:ind w:firstLine="640"/>
        <w:rPr>
          <w:rFonts w:ascii="仿宋_GB2312" w:eastAsia="仿宋_GB2312"/>
          <w:sz w:val="32"/>
          <w:szCs w:val="32"/>
        </w:rPr>
      </w:pPr>
      <w:r>
        <w:rPr>
          <w:rFonts w:ascii="仿宋_GB2312" w:eastAsia="仿宋_GB2312" w:hint="eastAsia"/>
          <w:sz w:val="32"/>
          <w:szCs w:val="32"/>
        </w:rPr>
        <w:t>3.应用</w:t>
      </w:r>
      <w:r>
        <w:rPr>
          <w:rFonts w:ascii="仿宋_GB2312" w:eastAsia="仿宋_GB2312"/>
          <w:sz w:val="32"/>
          <w:szCs w:val="32"/>
        </w:rPr>
        <w:t>标准成本管理</w:t>
      </w:r>
      <w:r>
        <w:rPr>
          <w:rFonts w:ascii="仿宋_GB2312" w:eastAsia="仿宋_GB2312" w:hint="eastAsia"/>
          <w:sz w:val="32"/>
          <w:szCs w:val="32"/>
        </w:rPr>
        <w:t>的目标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应用标准成本管理会计工具方法迎来确认科室中一些公共项目的成本，类似于定额管理，例如每人次办公费用，不用于成本核算环节，主要用于成本控制环节，有利于科室降低成本消耗。</w:t>
      </w:r>
    </w:p>
    <w:p w:rsidR="002C02E6" w:rsidRDefault="00C917C2">
      <w:pPr>
        <w:pStyle w:val="3"/>
        <w:ind w:firstLine="643"/>
        <w:rPr>
          <w:rFonts w:ascii="仿宋_GB2312" w:eastAsia="仿宋_GB2312"/>
        </w:rPr>
      </w:pPr>
      <w:bookmarkStart w:id="12" w:name="_Toc517177967"/>
      <w:r>
        <w:rPr>
          <w:rFonts w:ascii="仿宋_GB2312" w:eastAsia="仿宋_GB2312" w:hint="eastAsia"/>
        </w:rPr>
        <w:t>（二）应用相关管理会计工具方法的总体思路</w:t>
      </w:r>
      <w:bookmarkEnd w:id="1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鉴于成本核算在医院中应用尚未发现非常理想的案例，本项目组潜心研究，随着管理会计的应用，能不能采用管理会计的工具方法来解决医院的成本核算问题，能不能利用管理会计的作业成本法、</w:t>
      </w:r>
      <w:proofErr w:type="gramStart"/>
      <w:r>
        <w:rPr>
          <w:rFonts w:ascii="仿宋_GB2312" w:eastAsia="仿宋_GB2312" w:hint="eastAsia"/>
          <w:sz w:val="32"/>
          <w:szCs w:val="32"/>
        </w:rPr>
        <w:t>本量利</w:t>
      </w:r>
      <w:proofErr w:type="gramEnd"/>
      <w:r>
        <w:rPr>
          <w:rFonts w:ascii="仿宋_GB2312" w:eastAsia="仿宋_GB2312" w:hint="eastAsia"/>
          <w:sz w:val="32"/>
          <w:szCs w:val="32"/>
        </w:rPr>
        <w:t>等管理会计工具方法完善医院的科室、项目和病种核算，对于解决医院成本核算，推进医疗卫生体制机制改革，具有现实并且紧迫的意义。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从医院健康发展的角度，有必要创建一种新的成本核算模式，能够完整地对医院的科室成本、医疗服务项目成本和病种成本进行核算，并有助于对科室运营结果进行科学的反映，并正确的评价科室业绩，推动医院健康快速地发展，为人民提供更好的医疗服务。因此，我们研究的目标包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创建一套可行的成本核算理论，能够对医院成本包括科室成本、项目成本和病种成本进行科学的核算，科学评价科室经营成果，并具有在全国普遍适应的特点，并能够自动化的对医院中所有科室出具科室经济运行分析报告，指导科室发展，实现成本的“算管结合，算为管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把理论体系上升到实践层面，开发三套成本核算软件，包括科室成本、项目成本和病种成本核算，运用管理会计工具方法，实现对三个成本对象的完美反映。</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①完成科室成本核算体系设计与应用。全面了解科室成本耗费状况，建立科学的科室运营评价体系，进一步查找科室成本管理漏洞，以改进管理，提高收益水平，进一步增强科室发展活力。</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②采用作业成本</w:t>
      </w:r>
      <w:proofErr w:type="gramStart"/>
      <w:r>
        <w:rPr>
          <w:rFonts w:ascii="仿宋_GB2312" w:eastAsia="仿宋_GB2312" w:hint="eastAsia"/>
          <w:sz w:val="32"/>
          <w:szCs w:val="32"/>
        </w:rPr>
        <w:t>法实现</w:t>
      </w:r>
      <w:proofErr w:type="gramEnd"/>
      <w:r>
        <w:rPr>
          <w:rFonts w:ascii="仿宋_GB2312" w:eastAsia="仿宋_GB2312" w:hint="eastAsia"/>
          <w:sz w:val="32"/>
          <w:szCs w:val="32"/>
        </w:rPr>
        <w:t>医疗服务项目成本核算体系设计与应用。核算项目成本构成及项目收益水平，通过核算项目成本，为按</w:t>
      </w:r>
      <w:proofErr w:type="gramStart"/>
      <w:r>
        <w:rPr>
          <w:rFonts w:ascii="仿宋_GB2312" w:eastAsia="仿宋_GB2312" w:hint="eastAsia"/>
          <w:sz w:val="32"/>
          <w:szCs w:val="32"/>
        </w:rPr>
        <w:t>医改要求</w:t>
      </w:r>
      <w:proofErr w:type="gramEnd"/>
      <w:r>
        <w:rPr>
          <w:rFonts w:ascii="仿宋_GB2312" w:eastAsia="仿宋_GB2312" w:hint="eastAsia"/>
          <w:sz w:val="32"/>
          <w:szCs w:val="32"/>
        </w:rPr>
        <w:t>建立以收入和成本结构为基础的动态价格调整机制创造条件，也为和价格管理部门谈判确立医疗服务价格提供依据。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③完成病种成本核算体系设计与应用。精细化核算病种成本</w:t>
      </w:r>
      <w:r>
        <w:rPr>
          <w:rFonts w:ascii="仿宋_GB2312" w:eastAsia="仿宋_GB2312" w:hint="eastAsia"/>
          <w:sz w:val="32"/>
          <w:szCs w:val="32"/>
        </w:rPr>
        <w:lastRenderedPageBreak/>
        <w:t>构成及病种收益能力，为应对</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保支付制度改革，按病种付费提供依据，同</w:t>
      </w:r>
      <w:proofErr w:type="gramStart"/>
      <w:r>
        <w:rPr>
          <w:rFonts w:ascii="仿宋_GB2312" w:eastAsia="仿宋_GB2312" w:hint="eastAsia"/>
          <w:sz w:val="32"/>
          <w:szCs w:val="32"/>
        </w:rPr>
        <w:t>时病种成本</w:t>
      </w:r>
      <w:proofErr w:type="gramEnd"/>
      <w:r>
        <w:rPr>
          <w:rFonts w:ascii="仿宋_GB2312" w:eastAsia="仿宋_GB2312" w:hint="eastAsia"/>
          <w:sz w:val="32"/>
          <w:szCs w:val="32"/>
        </w:rPr>
        <w:t>信息为建立和</w:t>
      </w:r>
      <w:proofErr w:type="gramStart"/>
      <w:r>
        <w:rPr>
          <w:rFonts w:ascii="仿宋_GB2312" w:eastAsia="仿宋_GB2312" w:hint="eastAsia"/>
          <w:sz w:val="32"/>
          <w:szCs w:val="32"/>
        </w:rPr>
        <w:t>医保</w:t>
      </w:r>
      <w:proofErr w:type="gramEnd"/>
      <w:r>
        <w:rPr>
          <w:rFonts w:ascii="仿宋_GB2312" w:eastAsia="仿宋_GB2312" w:hint="eastAsia"/>
          <w:sz w:val="32"/>
          <w:szCs w:val="32"/>
        </w:rPr>
        <w:t>部门谈判机制和风险分担机制做好准备；病种成本数据也为绩效考核提供依据，也有利于临床路径的实施，为物价、财政部</w:t>
      </w:r>
      <w:proofErr w:type="gramStart"/>
      <w:r>
        <w:rPr>
          <w:rFonts w:ascii="仿宋_GB2312" w:eastAsia="仿宋_GB2312" w:hint="eastAsia"/>
          <w:sz w:val="32"/>
          <w:szCs w:val="32"/>
        </w:rPr>
        <w:t>门政策</w:t>
      </w:r>
      <w:proofErr w:type="gramEnd"/>
      <w:r>
        <w:rPr>
          <w:rFonts w:ascii="仿宋_GB2312" w:eastAsia="仿宋_GB2312" w:hint="eastAsia"/>
          <w:sz w:val="32"/>
          <w:szCs w:val="32"/>
        </w:rPr>
        <w:t>出台提供依据。</w:t>
      </w:r>
    </w:p>
    <w:p w:rsidR="002C02E6" w:rsidRDefault="00C917C2">
      <w:pPr>
        <w:pStyle w:val="3"/>
        <w:ind w:firstLine="643"/>
        <w:rPr>
          <w:rFonts w:ascii="仿宋_GB2312" w:eastAsia="仿宋_GB2312"/>
        </w:rPr>
      </w:pPr>
      <w:bookmarkStart w:id="13" w:name="_Toc517177968"/>
      <w:r>
        <w:rPr>
          <w:rFonts w:ascii="仿宋_GB2312" w:eastAsia="仿宋_GB2312" w:hint="eastAsia"/>
        </w:rPr>
        <w:t>（三）相关管理会计工具方法的内容</w:t>
      </w:r>
      <w:bookmarkEnd w:id="1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本项目解决医院成本核算问题，采用标准成本法、作业成本法和</w:t>
      </w:r>
      <w:proofErr w:type="gramStart"/>
      <w:r>
        <w:rPr>
          <w:rFonts w:ascii="仿宋_GB2312" w:eastAsia="仿宋_GB2312" w:hint="eastAsia"/>
          <w:sz w:val="32"/>
          <w:szCs w:val="32"/>
        </w:rPr>
        <w:t>本量利分析</w:t>
      </w:r>
      <w:proofErr w:type="gramEnd"/>
      <w:r>
        <w:rPr>
          <w:rFonts w:ascii="仿宋_GB2312" w:eastAsia="仿宋_GB2312" w:hint="eastAsia"/>
          <w:sz w:val="32"/>
          <w:szCs w:val="32"/>
        </w:rPr>
        <w:t>等管理会计工具方法，其内容为：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标准成本法：管理会计应用指引第</w:t>
      </w:r>
      <w:r>
        <w:rPr>
          <w:rFonts w:ascii="仿宋_GB2312" w:eastAsia="仿宋_GB2312"/>
          <w:sz w:val="32"/>
          <w:szCs w:val="32"/>
        </w:rPr>
        <w:t>301</w:t>
      </w:r>
      <w:r>
        <w:rPr>
          <w:rFonts w:ascii="仿宋_GB2312" w:eastAsia="仿宋_GB2312" w:hint="eastAsia"/>
          <w:sz w:val="32"/>
          <w:szCs w:val="32"/>
        </w:rPr>
        <w:t>号，是指以预先制定的标准成本为基础，通过比较标准成本与实际成本，核算和分析成本差异、揭示成本差异动因、实施成本控制、评价经济业绩的一种成本管理活动。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作业成本法：管理会计应用指引第</w:t>
      </w:r>
      <w:r>
        <w:rPr>
          <w:rFonts w:ascii="仿宋_GB2312" w:eastAsia="仿宋_GB2312"/>
          <w:sz w:val="32"/>
          <w:szCs w:val="32"/>
        </w:rPr>
        <w:t>304</w:t>
      </w:r>
      <w:r>
        <w:rPr>
          <w:rFonts w:ascii="仿宋_GB2312" w:eastAsia="仿宋_GB2312" w:hint="eastAsia"/>
          <w:sz w:val="32"/>
          <w:szCs w:val="32"/>
        </w:rPr>
        <w:t>号，是指企业将资源费用准确分配到产品、服务等成本对象的一种成本计算方法。</w:t>
      </w:r>
      <w:r>
        <w:rPr>
          <w:rFonts w:ascii="仿宋_GB2312" w:eastAsia="仿宋_GB2312"/>
          <w:sz w:val="32"/>
          <w:szCs w:val="32"/>
        </w:rPr>
        <w:t xml:space="preserve">  </w:t>
      </w:r>
      <w:r>
        <w:rPr>
          <w:rFonts w:ascii="仿宋_GB2312" w:eastAsia="仿宋_GB2312" w:hint="eastAsia"/>
          <w:sz w:val="32"/>
          <w:szCs w:val="32"/>
        </w:rPr>
        <w:t>作业成本法以“作业消耗资源、产出消耗作业”为原则，按照资源动因将资源费用追溯或分配至各成本对象，最终完成成本计算过程。</w:t>
      </w:r>
    </w:p>
    <w:p w:rsidR="002C02E6" w:rsidRDefault="00C917C2">
      <w:pPr>
        <w:spacing w:line="600" w:lineRule="exact"/>
        <w:ind w:firstLineChars="200" w:firstLine="640"/>
        <w:rPr>
          <w:rFonts w:ascii="仿宋_GB2312" w:eastAsia="仿宋_GB2312"/>
          <w:sz w:val="32"/>
          <w:szCs w:val="32"/>
        </w:rPr>
      </w:pPr>
      <w:proofErr w:type="gramStart"/>
      <w:r>
        <w:rPr>
          <w:rFonts w:ascii="仿宋_GB2312" w:eastAsia="仿宋_GB2312" w:hint="eastAsia"/>
          <w:sz w:val="32"/>
          <w:szCs w:val="32"/>
        </w:rPr>
        <w:t>本量利分析</w:t>
      </w:r>
      <w:proofErr w:type="gramEnd"/>
      <w:r>
        <w:rPr>
          <w:rFonts w:ascii="仿宋_GB2312" w:eastAsia="仿宋_GB2312"/>
          <w:sz w:val="32"/>
          <w:szCs w:val="32"/>
        </w:rPr>
        <w:t>是</w:t>
      </w:r>
      <w:r>
        <w:rPr>
          <w:rFonts w:ascii="仿宋_GB2312" w:eastAsia="仿宋_GB2312"/>
          <w:sz w:val="32"/>
          <w:szCs w:val="32"/>
        </w:rPr>
        <w:t>“</w:t>
      </w:r>
      <w:r>
        <w:rPr>
          <w:rFonts w:ascii="仿宋_GB2312" w:eastAsia="仿宋_GB2312"/>
          <w:sz w:val="32"/>
          <w:szCs w:val="32"/>
        </w:rPr>
        <w:t>成本</w:t>
      </w:r>
      <w:r>
        <w:rPr>
          <w:rFonts w:ascii="仿宋_GB2312" w:eastAsia="仿宋_GB2312"/>
          <w:sz w:val="32"/>
          <w:szCs w:val="32"/>
        </w:rPr>
        <w:t>—</w:t>
      </w:r>
      <w:r>
        <w:rPr>
          <w:rFonts w:ascii="仿宋_GB2312" w:eastAsia="仿宋_GB2312"/>
          <w:sz w:val="32"/>
          <w:szCs w:val="32"/>
        </w:rPr>
        <w:t>业务量</w:t>
      </w:r>
      <w:r>
        <w:rPr>
          <w:rFonts w:ascii="仿宋_GB2312" w:eastAsia="仿宋_GB2312"/>
          <w:sz w:val="32"/>
          <w:szCs w:val="32"/>
        </w:rPr>
        <w:t>—</w:t>
      </w:r>
      <w:r>
        <w:rPr>
          <w:rFonts w:ascii="仿宋_GB2312" w:eastAsia="仿宋_GB2312"/>
          <w:sz w:val="32"/>
          <w:szCs w:val="32"/>
        </w:rPr>
        <w:t>利润分析</w:t>
      </w:r>
      <w:r>
        <w:rPr>
          <w:rFonts w:ascii="仿宋_GB2312" w:eastAsia="仿宋_GB2312"/>
          <w:sz w:val="32"/>
          <w:szCs w:val="32"/>
        </w:rPr>
        <w:t>”</w:t>
      </w:r>
      <w:r>
        <w:rPr>
          <w:rFonts w:ascii="仿宋_GB2312" w:eastAsia="仿宋_GB2312"/>
          <w:sz w:val="32"/>
          <w:szCs w:val="32"/>
        </w:rPr>
        <w:t>的简称。它被用来研究产品价格、业务量、单位变动成本、固定成本、销售产品的品种结构等因素的相互关系，据以</w:t>
      </w:r>
      <w:proofErr w:type="gramStart"/>
      <w:r>
        <w:rPr>
          <w:rFonts w:ascii="仿宋_GB2312" w:eastAsia="仿宋_GB2312"/>
          <w:sz w:val="32"/>
          <w:szCs w:val="32"/>
        </w:rPr>
        <w:t>作出</w:t>
      </w:r>
      <w:proofErr w:type="gramEnd"/>
      <w:r>
        <w:rPr>
          <w:rFonts w:ascii="仿宋_GB2312" w:eastAsia="仿宋_GB2312"/>
          <w:sz w:val="32"/>
          <w:szCs w:val="32"/>
        </w:rPr>
        <w:t>关于产品结构、产品订价、促销策略以及生产设备利用等决策的一种方法。</w:t>
      </w:r>
      <w:proofErr w:type="gramStart"/>
      <w:r>
        <w:rPr>
          <w:rFonts w:ascii="仿宋_GB2312" w:eastAsia="仿宋_GB2312"/>
          <w:sz w:val="32"/>
          <w:szCs w:val="32"/>
        </w:rPr>
        <w:t>本量利分析</w:t>
      </w:r>
      <w:proofErr w:type="gramEnd"/>
      <w:r>
        <w:rPr>
          <w:rFonts w:ascii="仿宋_GB2312" w:eastAsia="仿宋_GB2312"/>
          <w:sz w:val="32"/>
          <w:szCs w:val="32"/>
        </w:rPr>
        <w:t>中最为人们熟悉的形式是盈亏临界分析或称保本分析，用来预测企业的获利能力;预测要达到目标利润应当销售多少产品(或完成多</w:t>
      </w:r>
      <w:r>
        <w:rPr>
          <w:rFonts w:ascii="仿宋_GB2312" w:eastAsia="仿宋_GB2312"/>
          <w:sz w:val="32"/>
          <w:szCs w:val="32"/>
        </w:rPr>
        <w:lastRenderedPageBreak/>
        <w:t>少销售额);预测变动成本、销售价格等因素的变动对利润的影响等等。</w:t>
      </w:r>
    </w:p>
    <w:p w:rsidR="002C02E6" w:rsidRDefault="00C917C2">
      <w:pPr>
        <w:pStyle w:val="3"/>
        <w:ind w:firstLine="643"/>
        <w:rPr>
          <w:rFonts w:ascii="仿宋_GB2312" w:eastAsia="仿宋_GB2312"/>
        </w:rPr>
      </w:pPr>
      <w:bookmarkStart w:id="14" w:name="_Toc517177969"/>
      <w:r>
        <w:rPr>
          <w:rFonts w:ascii="仿宋_GB2312" w:eastAsia="仿宋_GB2312" w:hint="eastAsia"/>
        </w:rPr>
        <w:t>（四）应用相关管理会计工具方法的创新</w:t>
      </w:r>
      <w:bookmarkEnd w:id="14"/>
    </w:p>
    <w:p w:rsidR="002C02E6" w:rsidRDefault="00C917C2">
      <w:pPr>
        <w:pStyle w:val="4"/>
        <w:ind w:firstLine="640"/>
        <w:rPr>
          <w:rFonts w:ascii="仿宋_GB2312" w:eastAsia="仿宋_GB2312"/>
          <w:sz w:val="32"/>
          <w:szCs w:val="32"/>
        </w:rPr>
      </w:pPr>
      <w:r>
        <w:rPr>
          <w:rFonts w:ascii="仿宋_GB2312" w:eastAsia="仿宋_GB2312" w:hint="eastAsia"/>
          <w:sz w:val="32"/>
          <w:szCs w:val="32"/>
        </w:rPr>
        <w:t>1.作业成本法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w:t>
      </w:r>
      <w:proofErr w:type="gramStart"/>
      <w:r>
        <w:rPr>
          <w:rFonts w:ascii="仿宋_GB2312" w:eastAsia="仿宋_GB2312" w:hint="eastAsia"/>
          <w:sz w:val="32"/>
          <w:szCs w:val="32"/>
        </w:rPr>
        <w:t>组创造</w:t>
      </w:r>
      <w:proofErr w:type="gramEnd"/>
      <w:r>
        <w:rPr>
          <w:rFonts w:ascii="仿宋_GB2312" w:eastAsia="仿宋_GB2312" w:hint="eastAsia"/>
          <w:sz w:val="32"/>
          <w:szCs w:val="32"/>
        </w:rPr>
        <w:t>一种方法，采用作业成本法精细化的核算医院医疗服务项目的成本，具有科学性、准确性的优点，较传统的比例系数法、成本当量法等粗放式的管理方法有着明显的优势，能够较为客观的反映医院中开展的每一个医疗服务项目的成本。</w:t>
      </w:r>
    </w:p>
    <w:p w:rsidR="002C02E6" w:rsidRDefault="00C917C2">
      <w:pPr>
        <w:pStyle w:val="4"/>
        <w:ind w:firstLine="640"/>
        <w:rPr>
          <w:rFonts w:ascii="仿宋_GB2312" w:eastAsia="仿宋_GB2312"/>
          <w:sz w:val="32"/>
          <w:szCs w:val="32"/>
        </w:rPr>
      </w:pPr>
      <w:r>
        <w:rPr>
          <w:rFonts w:ascii="仿宋_GB2312" w:eastAsia="仿宋_GB2312" w:hint="eastAsia"/>
          <w:sz w:val="32"/>
          <w:szCs w:val="32"/>
        </w:rPr>
        <w:t>2.标准成本法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采用标准成本法根据医院成本项目的特点有针对性地使用，有利于员工树立成本控制意识，严格按标准成本应用，实现降低成本目的。</w:t>
      </w:r>
    </w:p>
    <w:p w:rsidR="002C02E6" w:rsidRDefault="00C917C2">
      <w:pPr>
        <w:pStyle w:val="4"/>
        <w:ind w:firstLine="640"/>
        <w:rPr>
          <w:rFonts w:ascii="仿宋_GB2312" w:eastAsia="仿宋_GB2312"/>
          <w:sz w:val="32"/>
          <w:szCs w:val="32"/>
        </w:rPr>
      </w:pPr>
      <w:r>
        <w:rPr>
          <w:rFonts w:ascii="仿宋_GB2312" w:eastAsia="仿宋_GB2312" w:hint="eastAsia"/>
          <w:sz w:val="32"/>
          <w:szCs w:val="32"/>
        </w:rPr>
        <w:t>3.</w:t>
      </w:r>
      <w:proofErr w:type="gramStart"/>
      <w:r>
        <w:rPr>
          <w:rFonts w:ascii="仿宋_GB2312" w:eastAsia="仿宋_GB2312" w:hint="eastAsia"/>
          <w:sz w:val="32"/>
          <w:szCs w:val="32"/>
        </w:rPr>
        <w:t>本量利</w:t>
      </w:r>
      <w:proofErr w:type="gramEnd"/>
      <w:r>
        <w:rPr>
          <w:rFonts w:ascii="仿宋_GB2312" w:eastAsia="仿宋_GB2312" w:hint="eastAsia"/>
          <w:sz w:val="32"/>
          <w:szCs w:val="32"/>
        </w:rPr>
        <w:t>分析</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创造性的应用于医院诊次成本和</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的核算，计算医院工作量的盈亏临界水平，有利于实现医院经营的科学化。</w:t>
      </w:r>
    </w:p>
    <w:p w:rsidR="002C02E6" w:rsidRDefault="00C917C2">
      <w:pPr>
        <w:pStyle w:val="2"/>
        <w:ind w:firstLine="643"/>
        <w:rPr>
          <w:rFonts w:ascii="黑体" w:eastAsia="黑体"/>
        </w:rPr>
      </w:pPr>
      <w:bookmarkStart w:id="15" w:name="_Toc517177970"/>
      <w:r>
        <w:rPr>
          <w:rFonts w:ascii="黑体" w:eastAsia="黑体" w:hint="eastAsia"/>
        </w:rPr>
        <w:t>三、应用过程</w:t>
      </w:r>
      <w:bookmarkEnd w:id="1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全面介绍相关管理会计工具方法的应用过程。此部分内容至少应包括：</w:t>
      </w:r>
    </w:p>
    <w:p w:rsidR="002C02E6" w:rsidRDefault="00C917C2">
      <w:pPr>
        <w:pStyle w:val="3"/>
        <w:ind w:firstLine="643"/>
        <w:rPr>
          <w:rFonts w:ascii="仿宋_GB2312" w:eastAsia="仿宋_GB2312"/>
        </w:rPr>
      </w:pPr>
      <w:bookmarkStart w:id="16" w:name="_Toc517177971"/>
      <w:r>
        <w:rPr>
          <w:rFonts w:ascii="仿宋_GB2312" w:eastAsia="仿宋_GB2312" w:hint="eastAsia"/>
        </w:rPr>
        <w:t>（一）单位组织架构基本情况</w:t>
      </w:r>
      <w:bookmarkEnd w:id="16"/>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单位组织架构：我院采用法人治理结构，设理事会、管理层、监事会“三位一体”组织架构，下设院科两级，健全了决策、执行、监督相互协调、相互制衡的运行机制。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医院</w:t>
      </w:r>
      <w:proofErr w:type="gramStart"/>
      <w:r>
        <w:rPr>
          <w:rFonts w:ascii="仿宋_GB2312" w:eastAsia="仿宋_GB2312" w:hint="eastAsia"/>
          <w:sz w:val="32"/>
          <w:szCs w:val="32"/>
        </w:rPr>
        <w:t>设成本</w:t>
      </w:r>
      <w:proofErr w:type="gramEnd"/>
      <w:r>
        <w:rPr>
          <w:rFonts w:ascii="仿宋_GB2312" w:eastAsia="仿宋_GB2312" w:hint="eastAsia"/>
          <w:sz w:val="32"/>
          <w:szCs w:val="32"/>
        </w:rPr>
        <w:t>管理委员会，包括院领导、财务部门人员和临床科室领导，是成本管理的权力机构，财务部门是成本管理的执行机构，财务部门下设成本管理科，全面负责医院成本管理工作，组织科室成本核算、项目成本核算和医疗病种成本核算，出具各科室经济运行报告，实现医院成本控制。</w:t>
      </w:r>
    </w:p>
    <w:p w:rsidR="002C02E6" w:rsidRDefault="00C917C2">
      <w:pPr>
        <w:pStyle w:val="3"/>
        <w:ind w:firstLine="643"/>
        <w:rPr>
          <w:rFonts w:ascii="仿宋_GB2312" w:eastAsia="仿宋_GB2312"/>
        </w:rPr>
      </w:pPr>
      <w:bookmarkStart w:id="17" w:name="_Toc517177972"/>
      <w:r>
        <w:rPr>
          <w:rFonts w:ascii="仿宋_GB2312" w:eastAsia="仿宋_GB2312" w:hint="eastAsia"/>
        </w:rPr>
        <w:t>（二）参与部门</w:t>
      </w:r>
      <w:bookmarkEnd w:id="1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成本核算科负责制定成本管理的具体实施细则并组织开展，全院所有医疗科室、医技科室、行政后勤类科室配合执行，成本管理科设专职成本核算人员两人，组织全院成本核算工作，各临床科室每科室设1-2人参入科室成本管控工作。</w:t>
      </w:r>
    </w:p>
    <w:p w:rsidR="002C02E6" w:rsidRDefault="00C917C2">
      <w:pPr>
        <w:pStyle w:val="3"/>
        <w:ind w:firstLine="643"/>
        <w:rPr>
          <w:rFonts w:ascii="仿宋_GB2312" w:eastAsia="仿宋_GB2312"/>
        </w:rPr>
      </w:pPr>
      <w:bookmarkStart w:id="18" w:name="_Toc517177973"/>
      <w:r>
        <w:rPr>
          <w:rFonts w:ascii="仿宋_GB2312" w:eastAsia="仿宋_GB2312" w:hint="eastAsia"/>
        </w:rPr>
        <w:t>（三）应用相关管理会计工具方法的资源、环境、信息化条件等部署要求</w:t>
      </w:r>
      <w:bookmarkEnd w:id="1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医院全面成本核算是全员、全过程管理，全院指医院所有科室都要参入，全过程包括成本数据收集、计算、分析、发布的整个过程，实现信息化管理，由财务部门成本管理科整合全院资源统一部署协同推进。</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医院配置服务器和客户机，构建强大的网络系统，实现了全院联网，信息化水平高，财务部门构建了独自的网站，研发了基于浏览器(</w:t>
      </w:r>
      <w:r>
        <w:rPr>
          <w:rFonts w:ascii="仿宋_GB2312" w:eastAsia="仿宋_GB2312"/>
          <w:sz w:val="32"/>
          <w:szCs w:val="32"/>
        </w:rPr>
        <w:t>B/S)</w:t>
      </w:r>
      <w:r>
        <w:rPr>
          <w:rFonts w:ascii="仿宋_GB2312" w:eastAsia="仿宋_GB2312" w:hint="eastAsia"/>
          <w:sz w:val="32"/>
          <w:szCs w:val="32"/>
        </w:rPr>
        <w:t>和基于客户机/服务器(</w:t>
      </w:r>
      <w:r>
        <w:rPr>
          <w:rFonts w:ascii="仿宋_GB2312" w:eastAsia="仿宋_GB2312"/>
          <w:sz w:val="32"/>
          <w:szCs w:val="32"/>
        </w:rPr>
        <w:t>C/S)</w:t>
      </w:r>
      <w:r>
        <w:rPr>
          <w:rFonts w:ascii="仿宋_GB2312" w:eastAsia="仿宋_GB2312" w:hint="eastAsia"/>
          <w:sz w:val="32"/>
          <w:szCs w:val="32"/>
        </w:rPr>
        <w:t>的成本管理系统，各临床科室登陆财务部网站实现数据采集与维护，财务部通过网站发布各项信息和成本核算结果，成本核算结果能够及时的反馈到临床科室应用，强大的信息系统确保了成本核算的顺利展开。</w:t>
      </w:r>
    </w:p>
    <w:p w:rsidR="002C02E6" w:rsidRDefault="00C917C2">
      <w:pPr>
        <w:pStyle w:val="3"/>
        <w:ind w:firstLine="643"/>
        <w:rPr>
          <w:rFonts w:ascii="仿宋_GB2312" w:eastAsia="仿宋_GB2312"/>
        </w:rPr>
      </w:pPr>
      <w:bookmarkStart w:id="19" w:name="_Toc517177974"/>
      <w:r>
        <w:rPr>
          <w:rFonts w:ascii="仿宋_GB2312" w:eastAsia="仿宋_GB2312" w:hint="eastAsia"/>
        </w:rPr>
        <w:lastRenderedPageBreak/>
        <w:t>（四）具体应用模式和应用流程</w:t>
      </w:r>
      <w:bookmarkEnd w:id="19"/>
    </w:p>
    <w:p w:rsidR="002C02E6" w:rsidRDefault="00C917C2">
      <w:pPr>
        <w:pStyle w:val="4"/>
        <w:ind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 xml:space="preserve"> 科室成本核算</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按照《医院财务制度》第三十条规定：科室成本核算是将医院业务活动中所发生的各项耗费以科室为核算对象进行归集和分配，计算科室成本的过程。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核算在医院成本核算体系中非常重要，是开展成本核算的基础，也是成本核算能否成功的关键，考虑到科室成本在全国的管理现状，项目组提出了要达到的两个目标：一是按照《医院财务制度》要求，完成科室成本核算的三张成本报表的编制，包括：《医院各科室直接成本表》、《医院临床服务类科室全成本表》、《医院临床服务类科室全成本构成分析表》；二是设计科学的科室业绩评价体系，每月对科室出具科室经济运行报告，对收入、成本、业务量等进行全面反映，并采用Pdf格式向所有临床科室反馈。</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完成三张科室成本核算报表看起来容易，但要科学的设计核算体系也不容易，而科学的评价科室经营业绩更加困难，难点</w:t>
      </w:r>
      <w:proofErr w:type="gramStart"/>
      <w:r>
        <w:rPr>
          <w:rFonts w:ascii="仿宋_GB2312" w:eastAsia="仿宋_GB2312" w:hint="eastAsia"/>
          <w:sz w:val="32"/>
          <w:szCs w:val="32"/>
        </w:rPr>
        <w:t>一</w:t>
      </w:r>
      <w:proofErr w:type="gramEnd"/>
      <w:r>
        <w:rPr>
          <w:rFonts w:ascii="仿宋_GB2312" w:eastAsia="仿宋_GB2312" w:hint="eastAsia"/>
          <w:sz w:val="32"/>
          <w:szCs w:val="32"/>
        </w:rPr>
        <w:t>医院是公益性事业单位，不能单纯从经济效益方面评价，采用企业的评价方法评价医院又并完全合适；二是大型医院科室很多，多达一二百个，对每个科室出具业绩评价报告工作量很大，不容易完成。</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本项目组创新性的提出由计算机自动完成的方式，首先设计科室业绩评价报告模板，然后由计算机根据模板对每个科室进行</w:t>
      </w:r>
      <w:r>
        <w:rPr>
          <w:rFonts w:ascii="仿宋_GB2312" w:eastAsia="仿宋_GB2312" w:hint="eastAsia"/>
          <w:sz w:val="32"/>
          <w:szCs w:val="32"/>
        </w:rPr>
        <w:lastRenderedPageBreak/>
        <w:t>自动化分析，产生可是经济运行报告，报告完成后发布到财务网站，供临床科室查看阅读，用于管理。这就实现了成本管理的一系列突破，达到了“智能化”管理的阶段，达到“算管结合、算为管用”的成本管理的目的。</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为此，我们设计了科室成本核算的理论架构，研发了C/S和B</w:t>
      </w:r>
      <w:r>
        <w:rPr>
          <w:rFonts w:ascii="仿宋_GB2312" w:eastAsia="仿宋_GB2312"/>
          <w:sz w:val="32"/>
          <w:szCs w:val="32"/>
        </w:rPr>
        <w:t>/S</w:t>
      </w:r>
      <w:r>
        <w:rPr>
          <w:rFonts w:ascii="仿宋_GB2312" w:eastAsia="仿宋_GB2312" w:hint="eastAsia"/>
          <w:sz w:val="32"/>
          <w:szCs w:val="32"/>
        </w:rPr>
        <w:t>结合的成本管理软件，实现了比较好的科室成本解决方案。步骤如下：</w:t>
      </w:r>
    </w:p>
    <w:p w:rsidR="002C02E6" w:rsidRDefault="00C917C2">
      <w:pPr>
        <w:numPr>
          <w:ilvl w:val="0"/>
          <w:numId w:val="9"/>
        </w:numPr>
        <w:spacing w:line="600" w:lineRule="exact"/>
        <w:ind w:left="0" w:firstLineChars="200" w:firstLine="640"/>
        <w:rPr>
          <w:rFonts w:ascii="仿宋_GB2312" w:eastAsia="仿宋_GB2312"/>
          <w:sz w:val="32"/>
          <w:szCs w:val="32"/>
        </w:rPr>
      </w:pPr>
      <w:bookmarkStart w:id="20" w:name="_Hlk517020820"/>
      <w:r>
        <w:rPr>
          <w:rFonts w:ascii="仿宋_GB2312" w:eastAsia="仿宋_GB2312" w:hint="eastAsia"/>
          <w:sz w:val="32"/>
          <w:szCs w:val="32"/>
        </w:rPr>
        <w:t>对科室进行分类</w:t>
      </w:r>
    </w:p>
    <w:bookmarkEnd w:id="20"/>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科室成本核算需要对科室进行分类，目的是对科室成本进行归集和分摊，科学的反映科室成本这个核算对象。科室按服务内容和对象划分可以分为临床服务类、临床技术类、临床辅助类、行政后勤类</w:t>
      </w:r>
      <w:r>
        <w:rPr>
          <w:rFonts w:ascii="仿宋_GB2312" w:eastAsia="仿宋_GB2312"/>
          <w:sz w:val="32"/>
          <w:szCs w:val="32"/>
        </w:rPr>
        <w:t>四类</w:t>
      </w:r>
      <w:r>
        <w:rPr>
          <w:rFonts w:ascii="仿宋_GB2312" w:eastAsia="仿宋_GB2312" w:hint="eastAsia"/>
          <w:sz w:val="32"/>
          <w:szCs w:val="32"/>
        </w:rPr>
        <w:t>科室。</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临床服务类是直接为病人提供医疗服务，并能体现最终医疗结果、完整反映医疗成本的科室。如内科、外科、妇科等。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临床技术类是指为临床服务类科室及病人提供医疗技术服务的科室。如放射科、超声科、检验科、血库、手术室、麻醉科、药剂科、医技实验室等。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临床辅助类是服务于临床服务类和医疗技术类科室，为其提供动力、生产、加工等辅助服务的科室。如消毒供应室、病案室、材料库房、门诊挂号收费处、住院结算处等。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行政后勤类是指除临床服务、医疗技术、医疗辅助科室之外的从事院内外行政后勤业务工作的科室。</w:t>
      </w:r>
      <w:r>
        <w:rPr>
          <w:rFonts w:ascii="仿宋_GB2312" w:eastAsia="仿宋_GB2312"/>
          <w:sz w:val="32"/>
          <w:szCs w:val="32"/>
        </w:rPr>
        <w:t>如</w:t>
      </w:r>
      <w:r>
        <w:rPr>
          <w:rFonts w:ascii="仿宋_GB2312" w:eastAsia="仿宋_GB2312" w:hint="eastAsia"/>
          <w:sz w:val="32"/>
          <w:szCs w:val="32"/>
        </w:rPr>
        <w:t>院办公室、人事处、</w:t>
      </w:r>
      <w:r>
        <w:rPr>
          <w:rFonts w:ascii="仿宋_GB2312" w:eastAsia="仿宋_GB2312" w:hint="eastAsia"/>
          <w:sz w:val="32"/>
          <w:szCs w:val="32"/>
        </w:rPr>
        <w:lastRenderedPageBreak/>
        <w:t>医务处、护理部、科教处、总务处、信息处等。</w:t>
      </w:r>
    </w:p>
    <w:p w:rsidR="002C02E6" w:rsidRDefault="00C917C2">
      <w:pPr>
        <w:numPr>
          <w:ilvl w:val="0"/>
          <w:numId w:val="9"/>
        </w:numPr>
        <w:spacing w:line="600" w:lineRule="exact"/>
        <w:ind w:left="0" w:firstLineChars="200" w:firstLine="640"/>
        <w:rPr>
          <w:rFonts w:ascii="仿宋_GB2312" w:eastAsia="仿宋_GB2312"/>
          <w:sz w:val="32"/>
          <w:szCs w:val="32"/>
        </w:rPr>
      </w:pPr>
      <w:r>
        <w:rPr>
          <w:rFonts w:ascii="仿宋_GB2312" w:eastAsia="仿宋_GB2312" w:hint="eastAsia"/>
          <w:sz w:val="32"/>
          <w:szCs w:val="32"/>
        </w:rPr>
        <w:t>建立科室对照表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成本核算数据非常复杂，来源于医院中运行的各种各样的系统，系统之间科室名称往往不规范、不统一，要精细化核算成本，需建立强大的不同系统之间的科室匹配字典，确保来自于不同系统的数据都能够自动转入成本核算系统，这是成本核算的关键一步。如图：</w:t>
      </w:r>
    </w:p>
    <w:p w:rsidR="002C02E6" w:rsidRDefault="00C917C2">
      <w:pPr>
        <w:spacing w:line="600" w:lineRule="exact"/>
        <w:ind w:firstLineChars="200" w:firstLine="640"/>
        <w:jc w:val="center"/>
        <w:rPr>
          <w:rFonts w:ascii="仿宋_GB2312" w:eastAsia="仿宋_GB2312"/>
          <w:sz w:val="32"/>
          <w:szCs w:val="32"/>
        </w:rPr>
      </w:pPr>
      <w:r>
        <w:rPr>
          <w:rFonts w:ascii="仿宋_GB2312" w:eastAsia="仿宋_GB2312" w:hint="eastAsia"/>
          <w:sz w:val="32"/>
          <w:szCs w:val="32"/>
        </w:rPr>
        <w:t>科室对照表-处理不同系统的科室对照</w:t>
      </w:r>
    </w:p>
    <w:p w:rsidR="002C02E6" w:rsidRDefault="00C917C2">
      <w:pPr>
        <w:spacing w:line="600" w:lineRule="exact"/>
        <w:ind w:firstLineChars="200" w:firstLine="420"/>
        <w:rPr>
          <w:rFonts w:ascii="仿宋_GB2312" w:eastAsia="仿宋_GB2312"/>
          <w:sz w:val="32"/>
          <w:szCs w:val="32"/>
        </w:rPr>
      </w:pPr>
      <w:bookmarkStart w:id="21" w:name="_Toc510947512"/>
      <w:r>
        <w:rPr>
          <w:noProof/>
        </w:rPr>
        <w:drawing>
          <wp:anchor distT="0" distB="0" distL="114300" distR="114300" simplePos="0" relativeHeight="251647488" behindDoc="1" locked="0" layoutInCell="1" allowOverlap="1">
            <wp:simplePos x="0" y="0"/>
            <wp:positionH relativeFrom="column">
              <wp:posOffset>288925</wp:posOffset>
            </wp:positionH>
            <wp:positionV relativeFrom="paragraph">
              <wp:posOffset>57785</wp:posOffset>
            </wp:positionV>
            <wp:extent cx="5276850" cy="2800350"/>
            <wp:effectExtent l="0" t="0" r="0" b="0"/>
            <wp:wrapTight wrapText="bothSides">
              <wp:wrapPolygon edited="0">
                <wp:start x="0" y="0"/>
                <wp:lineTo x="0" y="21453"/>
                <wp:lineTo x="21522" y="21453"/>
                <wp:lineTo x="21522" y="0"/>
                <wp:lineTo x="0" y="0"/>
              </wp:wrapPolygon>
            </wp:wrapTight>
            <wp:docPr id="58"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numPr>
          <w:ilvl w:val="0"/>
          <w:numId w:val="9"/>
        </w:numPr>
        <w:spacing w:line="600" w:lineRule="exact"/>
        <w:ind w:left="0" w:firstLineChars="200" w:firstLine="640"/>
        <w:rPr>
          <w:rFonts w:ascii="仿宋_GB2312" w:eastAsia="仿宋_GB2312"/>
          <w:sz w:val="32"/>
          <w:szCs w:val="32"/>
        </w:rPr>
      </w:pPr>
      <w:r>
        <w:rPr>
          <w:rFonts w:ascii="仿宋_GB2312" w:eastAsia="仿宋_GB2312" w:hint="eastAsia"/>
          <w:sz w:val="32"/>
          <w:szCs w:val="32"/>
        </w:rPr>
        <w:t>科室成本的归集</w:t>
      </w:r>
      <w:bookmarkEnd w:id="2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财务制度》第三十条规定：成本按照计入方法分为直接成本和间接成本。直接成本是指科室为开展医疗服务活动而发生的能够直接计入或采用一定的方法计算后直接计入的各种成本。间接成本是指为开展医疗服务活动而发生的不能直接计入、需要按照一定的原则和标准分配计入的各项支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从直接成本和间接成本定义上可以看出，所有的能够明确归集或计算的成本都是直接成本，直接成本应尽量多的归集到科室中，直接成本越多科室成本核算越精确。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要准确归集科室直接成本和间接成本，需要分析科室的成本项目。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①</w:t>
      </w:r>
      <w:bookmarkStart w:id="22" w:name="_Toc510947513"/>
      <w:r>
        <w:rPr>
          <w:rFonts w:ascii="仿宋_GB2312" w:eastAsia="仿宋_GB2312" w:hint="eastAsia"/>
          <w:bCs/>
          <w:sz w:val="32"/>
          <w:szCs w:val="32"/>
        </w:rPr>
        <w:t>成本项目</w:t>
      </w:r>
      <w:bookmarkEnd w:id="2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成本项目是科室成本归集的最小单位，是医院为开展医疗服务活动而发生的各种消耗，主要包括： </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a</w:t>
      </w:r>
      <w:r>
        <w:rPr>
          <w:rFonts w:ascii="仿宋_GB2312" w:eastAsia="仿宋_GB2312" w:hint="eastAsia"/>
          <w:sz w:val="32"/>
          <w:szCs w:val="32"/>
        </w:rPr>
        <w:t xml:space="preserve">.人员经费：包括基本工资、津贴补贴、绩效工资、社会保障缴费、伙食补助费、其他工资福利支出、离休费、退休费、退职（役）费、抚恤费、生活补助、救济费、医疗费、奖励金、提租补贴、购房补助、住房公积金和其他对个人和家庭的补助支出等。 </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b.</w:t>
      </w:r>
      <w:r>
        <w:rPr>
          <w:rFonts w:ascii="仿宋_GB2312" w:eastAsia="仿宋_GB2312" w:hint="eastAsia"/>
          <w:sz w:val="32"/>
          <w:szCs w:val="32"/>
        </w:rPr>
        <w:t xml:space="preserve">卫生材料费：是指医院各科室发生的卫生材料耗费，包括血费、氧气费、放射材料费、化验材料费和其他卫生材料费等。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c</w:t>
      </w:r>
      <w:r>
        <w:rPr>
          <w:rFonts w:ascii="仿宋_GB2312" w:eastAsia="仿宋_GB2312"/>
          <w:sz w:val="32"/>
          <w:szCs w:val="32"/>
        </w:rPr>
        <w:t>.</w:t>
      </w:r>
      <w:r>
        <w:rPr>
          <w:rFonts w:ascii="仿宋_GB2312" w:eastAsia="仿宋_GB2312" w:hint="eastAsia"/>
          <w:sz w:val="32"/>
          <w:szCs w:val="32"/>
        </w:rPr>
        <w:t xml:space="preserve">药品费：是指医院各科室发生的药品耗费，包括西药费、中成药费和中草药费等。 </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d.</w:t>
      </w:r>
      <w:r>
        <w:rPr>
          <w:rFonts w:ascii="仿宋_GB2312" w:eastAsia="仿宋_GB2312" w:hint="eastAsia"/>
          <w:sz w:val="32"/>
          <w:szCs w:val="32"/>
        </w:rPr>
        <w:t xml:space="preserve">固定资产折旧费：是指按规定提取的固定资产折旧。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e</w:t>
      </w:r>
      <w:r>
        <w:rPr>
          <w:rFonts w:ascii="仿宋_GB2312" w:eastAsia="仿宋_GB2312"/>
          <w:sz w:val="32"/>
          <w:szCs w:val="32"/>
        </w:rPr>
        <w:t>.</w:t>
      </w:r>
      <w:r>
        <w:rPr>
          <w:rFonts w:ascii="仿宋_GB2312" w:eastAsia="仿宋_GB2312" w:hint="eastAsia"/>
          <w:sz w:val="32"/>
          <w:szCs w:val="32"/>
        </w:rPr>
        <w:t xml:space="preserve">无形资产摊销费：是指各科室按规定计提的无形资产摊销。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f</w:t>
      </w:r>
      <w:r>
        <w:rPr>
          <w:rFonts w:ascii="仿宋_GB2312" w:eastAsia="仿宋_GB2312"/>
          <w:sz w:val="32"/>
          <w:szCs w:val="32"/>
        </w:rPr>
        <w:t>.</w:t>
      </w:r>
      <w:r>
        <w:rPr>
          <w:rFonts w:ascii="仿宋_GB2312" w:eastAsia="仿宋_GB2312" w:hint="eastAsia"/>
          <w:sz w:val="32"/>
          <w:szCs w:val="32"/>
        </w:rPr>
        <w:t xml:space="preserve">提取医疗风险基金：是指各科室按规定计提的医疗风险基金。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g</w:t>
      </w:r>
      <w:r>
        <w:rPr>
          <w:rFonts w:ascii="仿宋_GB2312" w:eastAsia="仿宋_GB2312"/>
          <w:sz w:val="32"/>
          <w:szCs w:val="32"/>
        </w:rPr>
        <w:t>.</w:t>
      </w:r>
      <w:r>
        <w:rPr>
          <w:rFonts w:ascii="仿宋_GB2312" w:eastAsia="仿宋_GB2312" w:hint="eastAsia"/>
          <w:sz w:val="32"/>
          <w:szCs w:val="32"/>
        </w:rPr>
        <w:t>其他费用：包括办公费、印刷费、咨询费、手续费、水费、</w:t>
      </w:r>
      <w:r>
        <w:rPr>
          <w:rFonts w:ascii="仿宋_GB2312" w:eastAsia="仿宋_GB2312" w:hint="eastAsia"/>
          <w:sz w:val="32"/>
          <w:szCs w:val="32"/>
        </w:rPr>
        <w:lastRenderedPageBreak/>
        <w:t xml:space="preserve">电费、邮电费、取暖费、物业费、差旅费、因公出国（境）费用、维修（护）费、租赁费、会议费、培训费、公务接待费、低值易耗品等费用、劳务费、委托业务费、工会经费、福利费、公务用车运行维护费、其他交通费用和其他商品及服务支出等。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②</w:t>
      </w:r>
      <w:bookmarkStart w:id="23" w:name="_Toc510947514"/>
      <w:r>
        <w:rPr>
          <w:rFonts w:ascii="仿宋_GB2312" w:eastAsia="仿宋_GB2312" w:hint="eastAsia"/>
          <w:bCs/>
          <w:sz w:val="32"/>
          <w:szCs w:val="32"/>
        </w:rPr>
        <w:t>直接成本直接归集</w:t>
      </w:r>
      <w:bookmarkEnd w:id="23"/>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对于科室发生的直接成本，根据当期发生额直接计入科室</w:t>
      </w:r>
      <w:r>
        <w:rPr>
          <w:rFonts w:ascii="仿宋_GB2312" w:eastAsia="仿宋_GB2312" w:hint="eastAsia"/>
          <w:sz w:val="32"/>
          <w:szCs w:val="32"/>
        </w:rPr>
        <w:t>。一般包括：人员经费、耗用的卫生材料和药品费、固定资产折旧费、医疗风险基金和其他能够明确计量计入的费用。</w:t>
      </w:r>
      <w:bookmarkStart w:id="24" w:name="_Toc51094751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③</w:t>
      </w:r>
      <w:r>
        <w:rPr>
          <w:rFonts w:ascii="仿宋_GB2312" w:eastAsia="仿宋_GB2312" w:hint="eastAsia"/>
          <w:bCs/>
          <w:sz w:val="32"/>
          <w:szCs w:val="32"/>
        </w:rPr>
        <w:t>间接成本分配后计入</w:t>
      </w:r>
      <w:bookmarkEnd w:id="24"/>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对于各科室消耗但又不能直接计入的成本费用，可以先</w:t>
      </w:r>
      <w:r>
        <w:rPr>
          <w:rFonts w:ascii="仿宋_GB2312" w:eastAsia="仿宋_GB2312" w:hint="eastAsia"/>
          <w:sz w:val="32"/>
          <w:szCs w:val="32"/>
        </w:rPr>
        <w:t>在某一特定科室归集，如可设公共虚拟科室，然后选择合理的成本费用分配系数，将公共虚拟科室中的成本按照“谁受益谁负担”的原则采用一定的方法计算后计入各科室。</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医院财务制度》，这些项目一般包括其他费用中水电费、印刷费、物业管理费、洗涤费等等，称为间接费用，要注意的是这些费用中如果能够明确计入科室的，又转化为直接成本，例如，有的医院水电费是间接成本，需要按人数等标准分配计入科室，但有的医院管理精细化水平较高，能够直接计入或计算计入科室，则是直接成本，所以一项成本属于直接成本或间接成本，是和医院管理的精细化水平密不可分的。</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间接成本通过分配系数进行分配，常用的分配系数有：</w:t>
      </w:r>
    </w:p>
    <w:p w:rsidR="002C02E6" w:rsidRDefault="00C917C2">
      <w:pPr>
        <w:spacing w:line="600" w:lineRule="exact"/>
        <w:ind w:firstLineChars="200" w:firstLine="640"/>
        <w:rPr>
          <w:rFonts w:ascii="仿宋_GB2312" w:eastAsia="仿宋_GB2312"/>
          <w:bCs/>
          <w:sz w:val="32"/>
          <w:szCs w:val="32"/>
        </w:rPr>
      </w:pPr>
      <w:bookmarkStart w:id="25" w:name="_Toc510947516"/>
      <w:r>
        <w:rPr>
          <w:rFonts w:ascii="仿宋_GB2312" w:eastAsia="仿宋_GB2312" w:hint="eastAsia"/>
          <w:bCs/>
          <w:sz w:val="32"/>
          <w:szCs w:val="32"/>
        </w:rPr>
        <w:t>a</w:t>
      </w:r>
      <w:r>
        <w:rPr>
          <w:rFonts w:ascii="仿宋_GB2312" w:eastAsia="仿宋_GB2312"/>
          <w:bCs/>
          <w:sz w:val="32"/>
          <w:szCs w:val="32"/>
        </w:rPr>
        <w:t>.</w:t>
      </w:r>
      <w:r>
        <w:rPr>
          <w:rFonts w:ascii="仿宋_GB2312" w:eastAsia="仿宋_GB2312" w:hint="eastAsia"/>
          <w:bCs/>
          <w:sz w:val="32"/>
          <w:szCs w:val="32"/>
        </w:rPr>
        <w:t>按人员系数分配</w:t>
      </w:r>
      <w:bookmarkEnd w:id="2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是按照科室的人员进行分配，例如办公费、邮电费、税费等。以办公费为例分配的计算公式为：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某科室办公费=本科室人员数/全院职工人员数×医院办公费总额</w:t>
      </w:r>
    </w:p>
    <w:p w:rsidR="002C02E6" w:rsidRDefault="00C917C2">
      <w:pPr>
        <w:spacing w:line="600" w:lineRule="exact"/>
        <w:ind w:firstLineChars="200" w:firstLine="640"/>
        <w:rPr>
          <w:rFonts w:ascii="仿宋_GB2312" w:eastAsia="仿宋_GB2312"/>
          <w:bCs/>
          <w:sz w:val="32"/>
          <w:szCs w:val="32"/>
        </w:rPr>
      </w:pPr>
      <w:bookmarkStart w:id="26" w:name="_Toc510947517"/>
      <w:r>
        <w:rPr>
          <w:rFonts w:ascii="仿宋_GB2312" w:eastAsia="仿宋_GB2312" w:hint="eastAsia"/>
          <w:bCs/>
          <w:sz w:val="32"/>
          <w:szCs w:val="32"/>
        </w:rPr>
        <w:t>b</w:t>
      </w:r>
      <w:r>
        <w:rPr>
          <w:rFonts w:ascii="仿宋_GB2312" w:eastAsia="仿宋_GB2312"/>
          <w:bCs/>
          <w:sz w:val="32"/>
          <w:szCs w:val="32"/>
        </w:rPr>
        <w:t>.</w:t>
      </w:r>
      <w:r>
        <w:rPr>
          <w:rFonts w:ascii="仿宋_GB2312" w:eastAsia="仿宋_GB2312" w:hint="eastAsia"/>
          <w:bCs/>
          <w:sz w:val="32"/>
          <w:szCs w:val="32"/>
        </w:rPr>
        <w:t>按服务量分配</w:t>
      </w:r>
      <w:bookmarkEnd w:id="26"/>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是按照科室消费的服务量分配，例如交通费。计算公式为：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某科室交通费=某科室使用汽车</w:t>
      </w:r>
      <w:proofErr w:type="gramStart"/>
      <w:r>
        <w:rPr>
          <w:rFonts w:ascii="仿宋_GB2312" w:eastAsia="仿宋_GB2312" w:hint="eastAsia"/>
          <w:sz w:val="32"/>
          <w:szCs w:val="32"/>
        </w:rPr>
        <w:t>班车辆</w:t>
      </w:r>
      <w:proofErr w:type="gramEnd"/>
      <w:r>
        <w:rPr>
          <w:rFonts w:ascii="仿宋_GB2312" w:eastAsia="仿宋_GB2312" w:hint="eastAsia"/>
          <w:sz w:val="32"/>
          <w:szCs w:val="32"/>
        </w:rPr>
        <w:t>行驶公里数/汽车班</w:t>
      </w:r>
      <w:proofErr w:type="gramStart"/>
      <w:r>
        <w:rPr>
          <w:rFonts w:ascii="仿宋_GB2312" w:eastAsia="仿宋_GB2312" w:hint="eastAsia"/>
          <w:sz w:val="32"/>
          <w:szCs w:val="32"/>
        </w:rPr>
        <w:t>行驶行驶</w:t>
      </w:r>
      <w:proofErr w:type="gramEnd"/>
      <w:r>
        <w:rPr>
          <w:rFonts w:ascii="仿宋_GB2312" w:eastAsia="仿宋_GB2312" w:hint="eastAsia"/>
          <w:sz w:val="32"/>
          <w:szCs w:val="32"/>
        </w:rPr>
        <w:t>总公里数×医院交通费总额</w:t>
      </w:r>
    </w:p>
    <w:p w:rsidR="002C02E6" w:rsidRDefault="00C917C2">
      <w:pPr>
        <w:spacing w:line="600" w:lineRule="exact"/>
        <w:ind w:firstLineChars="200" w:firstLine="640"/>
        <w:rPr>
          <w:rFonts w:ascii="仿宋_GB2312" w:eastAsia="仿宋_GB2312"/>
          <w:bCs/>
          <w:sz w:val="32"/>
          <w:szCs w:val="32"/>
        </w:rPr>
      </w:pPr>
      <w:bookmarkStart w:id="27" w:name="_Toc510947518"/>
      <w:r>
        <w:rPr>
          <w:rFonts w:ascii="仿宋_GB2312" w:eastAsia="仿宋_GB2312" w:hint="eastAsia"/>
          <w:bCs/>
          <w:sz w:val="32"/>
          <w:szCs w:val="32"/>
        </w:rPr>
        <w:t>c</w:t>
      </w:r>
      <w:r>
        <w:rPr>
          <w:rFonts w:ascii="仿宋_GB2312" w:eastAsia="仿宋_GB2312"/>
          <w:bCs/>
          <w:sz w:val="32"/>
          <w:szCs w:val="32"/>
        </w:rPr>
        <w:t>.</w:t>
      </w:r>
      <w:r>
        <w:rPr>
          <w:rFonts w:ascii="仿宋_GB2312" w:eastAsia="仿宋_GB2312" w:hint="eastAsia"/>
          <w:bCs/>
          <w:sz w:val="32"/>
          <w:szCs w:val="32"/>
        </w:rPr>
        <w:t>按面积分配</w:t>
      </w:r>
      <w:bookmarkEnd w:id="2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按照科室面积分配间接成本，如电费、物业管理费等。计算公式为：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某科室电费=该科室面积/无用电记录的科室面积之和×医院电费总额</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直接成本的归集和间接成本的分配计入完成后，可以完成《医院财务制度》要求的第一张报表-“医院各科室直接成本表”的编制。</w:t>
      </w:r>
    </w:p>
    <w:p w:rsidR="002C02E6" w:rsidRDefault="00C917C2">
      <w:pPr>
        <w:numPr>
          <w:ilvl w:val="0"/>
          <w:numId w:val="9"/>
        </w:numPr>
        <w:spacing w:line="600" w:lineRule="exact"/>
        <w:ind w:left="0" w:firstLineChars="200" w:firstLine="640"/>
        <w:rPr>
          <w:rFonts w:ascii="仿宋_GB2312" w:eastAsia="仿宋_GB2312"/>
          <w:sz w:val="32"/>
          <w:szCs w:val="32"/>
        </w:rPr>
      </w:pPr>
      <w:bookmarkStart w:id="28" w:name="_Toc510947519"/>
      <w:r>
        <w:rPr>
          <w:rFonts w:ascii="仿宋_GB2312" w:eastAsia="仿宋_GB2312" w:hint="eastAsia"/>
          <w:sz w:val="32"/>
          <w:szCs w:val="32"/>
        </w:rPr>
        <w:t>科室成本的分摊</w:t>
      </w:r>
      <w:bookmarkEnd w:id="2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医院财务制度》要求，在完成第一张报表“医院各科室直接成本表”的编制后，各类科室发生的间接成本应本着相关性、成本效益关系及重要性等原则，运用阶梯分摊法原理，按照分项分步结转的方式进行分摊，最终将所有成本分摊到临床科室。</w:t>
      </w:r>
    </w:p>
    <w:p w:rsidR="002C02E6" w:rsidRDefault="00C917C2">
      <w:pPr>
        <w:spacing w:line="600" w:lineRule="exact"/>
        <w:ind w:firstLineChars="200" w:firstLine="640"/>
        <w:rPr>
          <w:rFonts w:ascii="仿宋_GB2312" w:eastAsia="仿宋_GB2312"/>
          <w:sz w:val="32"/>
          <w:szCs w:val="32"/>
        </w:rPr>
      </w:pPr>
      <w:bookmarkStart w:id="29" w:name="_Toc510947520"/>
      <w:r>
        <w:rPr>
          <w:rFonts w:ascii="仿宋_GB2312" w:eastAsia="仿宋_GB2312" w:hint="eastAsia"/>
          <w:sz w:val="32"/>
          <w:szCs w:val="32"/>
        </w:rPr>
        <w:t>①科室</w:t>
      </w:r>
      <w:r>
        <w:rPr>
          <w:rFonts w:ascii="仿宋_GB2312" w:eastAsia="仿宋_GB2312" w:hint="eastAsia"/>
          <w:bCs/>
          <w:sz w:val="32"/>
          <w:szCs w:val="32"/>
        </w:rPr>
        <w:t>成本分摊的原因</w:t>
      </w:r>
      <w:bookmarkEnd w:id="29"/>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lastRenderedPageBreak/>
        <w:t>医院的科室</w:t>
      </w:r>
      <w:r>
        <w:rPr>
          <w:rFonts w:ascii="仿宋_GB2312" w:eastAsia="仿宋_GB2312" w:hint="eastAsia"/>
          <w:sz w:val="32"/>
          <w:szCs w:val="32"/>
        </w:rPr>
        <w:t>可以分为两类：</w:t>
      </w:r>
      <w:r>
        <w:rPr>
          <w:rFonts w:ascii="仿宋_GB2312" w:eastAsia="仿宋_GB2312"/>
          <w:sz w:val="32"/>
          <w:szCs w:val="32"/>
        </w:rPr>
        <w:t>有的直接为病人服务</w:t>
      </w:r>
      <w:r>
        <w:rPr>
          <w:rFonts w:ascii="仿宋_GB2312" w:eastAsia="仿宋_GB2312" w:hint="eastAsia"/>
          <w:sz w:val="32"/>
          <w:szCs w:val="32"/>
        </w:rPr>
        <w:t>，有的间接为病人服务，间接为病人服务的科室的价值通过前一类科室的服务得以体现，因此，间接服务科室的成本需要分摊到直接服务类科室上，最终通过医疗服务项目收费得到补偿。</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②</w:t>
      </w:r>
      <w:r>
        <w:rPr>
          <w:rFonts w:ascii="仿宋_GB2312" w:eastAsia="仿宋_GB2312" w:hint="eastAsia"/>
          <w:bCs/>
          <w:sz w:val="32"/>
          <w:szCs w:val="32"/>
        </w:rPr>
        <w:t>科室成本分摊的方法</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医院成本分摊的方法</w:t>
      </w:r>
      <w:r>
        <w:rPr>
          <w:rFonts w:ascii="仿宋_GB2312" w:eastAsia="仿宋_GB2312" w:hint="eastAsia"/>
          <w:sz w:val="32"/>
          <w:szCs w:val="32"/>
        </w:rPr>
        <w:t>包括</w:t>
      </w:r>
      <w:r>
        <w:rPr>
          <w:rFonts w:ascii="仿宋_GB2312" w:eastAsia="仿宋_GB2312"/>
          <w:sz w:val="32"/>
          <w:szCs w:val="32"/>
        </w:rPr>
        <w:t>直接分摊法、顺序分摊法和阶梯分摊法等等，按照《</w:t>
      </w:r>
      <w:r>
        <w:rPr>
          <w:rFonts w:ascii="仿宋_GB2312" w:eastAsia="仿宋_GB2312" w:hint="eastAsia"/>
          <w:sz w:val="32"/>
          <w:szCs w:val="32"/>
        </w:rPr>
        <w:t>医院财务制度</w:t>
      </w:r>
      <w:r>
        <w:rPr>
          <w:rFonts w:ascii="仿宋_GB2312" w:eastAsia="仿宋_GB2312"/>
          <w:sz w:val="32"/>
          <w:szCs w:val="32"/>
        </w:rPr>
        <w:t>》</w:t>
      </w:r>
      <w:r>
        <w:rPr>
          <w:rFonts w:ascii="仿宋_GB2312" w:eastAsia="仿宋_GB2312" w:hint="eastAsia"/>
          <w:sz w:val="32"/>
          <w:szCs w:val="32"/>
        </w:rPr>
        <w:t>要求，医院科室成本分摊采用四类三级分摊法。</w:t>
      </w:r>
    </w:p>
    <w:p w:rsidR="002C02E6" w:rsidRDefault="00C917C2">
      <w:pPr>
        <w:spacing w:line="600" w:lineRule="exact"/>
        <w:ind w:firstLineChars="200" w:firstLine="640"/>
        <w:rPr>
          <w:rFonts w:ascii="仿宋_GB2312" w:eastAsia="仿宋_GB2312"/>
          <w:bCs/>
          <w:sz w:val="32"/>
          <w:szCs w:val="32"/>
        </w:rPr>
      </w:pPr>
      <w:bookmarkStart w:id="30" w:name="_Toc510947522"/>
      <w:r>
        <w:rPr>
          <w:rFonts w:ascii="仿宋_GB2312" w:eastAsia="仿宋_GB2312"/>
          <w:bCs/>
          <w:sz w:val="32"/>
          <w:szCs w:val="32"/>
        </w:rPr>
        <w:t>a.</w:t>
      </w:r>
      <w:r>
        <w:rPr>
          <w:rFonts w:ascii="仿宋_GB2312" w:eastAsia="仿宋_GB2312" w:hint="eastAsia"/>
          <w:bCs/>
          <w:sz w:val="32"/>
          <w:szCs w:val="32"/>
        </w:rPr>
        <w:t>四类三级分摊法</w:t>
      </w:r>
      <w:bookmarkEnd w:id="3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四类三级分摊法是将科室分为临床服务类科室、临床技术类科室</w:t>
      </w:r>
      <w:r>
        <w:rPr>
          <w:rFonts w:ascii="仿宋_GB2312" w:eastAsia="仿宋_GB2312"/>
          <w:sz w:val="32"/>
          <w:szCs w:val="32"/>
        </w:rPr>
        <w:t xml:space="preserve"> </w:t>
      </w:r>
      <w:r>
        <w:rPr>
          <w:rFonts w:ascii="仿宋_GB2312" w:eastAsia="仿宋_GB2312" w:hint="eastAsia"/>
          <w:sz w:val="32"/>
          <w:szCs w:val="32"/>
        </w:rPr>
        <w:t>、临床辅助类科室、行政后勤类四类科室，由于后三类科室直接或间接地为临床服务类科室服务，采用逐级分摊的方法把后三类的成本结转到临床服务类科室中去。如图：</w:t>
      </w:r>
    </w:p>
    <w:p w:rsidR="002C02E6" w:rsidRDefault="00C917C2">
      <w:pPr>
        <w:spacing w:line="360" w:lineRule="auto"/>
        <w:ind w:firstLine="1276"/>
        <w:jc w:val="left"/>
        <w:rPr>
          <w:rFonts w:cs="宋体"/>
          <w:kern w:val="0"/>
          <w:sz w:val="24"/>
          <w:szCs w:val="24"/>
        </w:rPr>
      </w:pPr>
      <w:r>
        <w:rPr>
          <w:noProof/>
        </w:rPr>
        <w:drawing>
          <wp:inline distT="0" distB="0" distL="0" distR="0">
            <wp:extent cx="3702050" cy="23495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0" cy="2349500"/>
                    </a:xfrm>
                    <a:prstGeom prst="rect">
                      <a:avLst/>
                    </a:prstGeom>
                    <a:noFill/>
                    <a:ln>
                      <a:noFill/>
                    </a:ln>
                  </pic:spPr>
                </pic:pic>
              </a:graphicData>
            </a:graphic>
          </wp:inline>
        </w:drawing>
      </w:r>
    </w:p>
    <w:p w:rsidR="002C02E6" w:rsidRDefault="00C917C2">
      <w:pPr>
        <w:spacing w:line="600" w:lineRule="exact"/>
        <w:ind w:firstLineChars="200" w:firstLine="640"/>
        <w:rPr>
          <w:rFonts w:ascii="仿宋_GB2312" w:eastAsia="仿宋_GB2312"/>
          <w:sz w:val="32"/>
          <w:szCs w:val="32"/>
        </w:rPr>
      </w:pPr>
      <w:bookmarkStart w:id="31" w:name="_Toc510947523"/>
      <w:r>
        <w:rPr>
          <w:rFonts w:ascii="仿宋_GB2312" w:eastAsia="仿宋_GB2312" w:hint="eastAsia"/>
          <w:sz w:val="32"/>
          <w:szCs w:val="32"/>
        </w:rPr>
        <w:t>b</w:t>
      </w:r>
      <w:r>
        <w:rPr>
          <w:rFonts w:ascii="仿宋_GB2312" w:eastAsia="仿宋_GB2312"/>
          <w:sz w:val="32"/>
          <w:szCs w:val="32"/>
        </w:rPr>
        <w:t>.</w:t>
      </w:r>
      <w:r>
        <w:rPr>
          <w:rFonts w:ascii="仿宋_GB2312" w:eastAsia="仿宋_GB2312" w:hint="eastAsia"/>
          <w:sz w:val="32"/>
          <w:szCs w:val="32"/>
        </w:rPr>
        <w:t>第一级分摊</w:t>
      </w:r>
      <w:bookmarkEnd w:id="3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将行政后勤类科室成本按人员比例等分摊参数向临床科室、医技科室和</w:t>
      </w:r>
      <w:proofErr w:type="gramStart"/>
      <w:r>
        <w:rPr>
          <w:rFonts w:ascii="仿宋_GB2312" w:eastAsia="仿宋_GB2312" w:hint="eastAsia"/>
          <w:sz w:val="32"/>
          <w:szCs w:val="32"/>
        </w:rPr>
        <w:t>医辅</w:t>
      </w:r>
      <w:proofErr w:type="gramEnd"/>
      <w:r>
        <w:rPr>
          <w:rFonts w:ascii="仿宋_GB2312" w:eastAsia="仿宋_GB2312" w:hint="eastAsia"/>
          <w:sz w:val="32"/>
          <w:szCs w:val="32"/>
        </w:rPr>
        <w:t xml:space="preserve">科室分摊，并实行分项结转。 </w:t>
      </w:r>
    </w:p>
    <w:p w:rsidR="002C02E6" w:rsidRDefault="00C917C2">
      <w:pPr>
        <w:spacing w:line="600" w:lineRule="exact"/>
        <w:ind w:firstLineChars="200" w:firstLine="640"/>
        <w:rPr>
          <w:rFonts w:ascii="仿宋_GB2312" w:eastAsia="仿宋_GB2312"/>
          <w:bCs/>
          <w:sz w:val="32"/>
          <w:szCs w:val="32"/>
        </w:rPr>
      </w:pPr>
      <w:bookmarkStart w:id="32" w:name="_Toc510947524"/>
      <w:r>
        <w:rPr>
          <w:rFonts w:ascii="仿宋_GB2312" w:eastAsia="仿宋_GB2312" w:hint="eastAsia"/>
          <w:bCs/>
          <w:sz w:val="32"/>
          <w:szCs w:val="32"/>
        </w:rPr>
        <w:lastRenderedPageBreak/>
        <w:t>c</w:t>
      </w:r>
      <w:r>
        <w:rPr>
          <w:rFonts w:ascii="仿宋_GB2312" w:eastAsia="仿宋_GB2312"/>
          <w:bCs/>
          <w:sz w:val="32"/>
          <w:szCs w:val="32"/>
        </w:rPr>
        <w:t>.</w:t>
      </w:r>
      <w:r>
        <w:rPr>
          <w:rFonts w:ascii="仿宋_GB2312" w:eastAsia="仿宋_GB2312" w:hint="eastAsia"/>
          <w:bCs/>
          <w:sz w:val="32"/>
          <w:szCs w:val="32"/>
        </w:rPr>
        <w:t>第二级分摊</w:t>
      </w:r>
      <w:bookmarkEnd w:id="3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将</w:t>
      </w:r>
      <w:proofErr w:type="gramStart"/>
      <w:r>
        <w:rPr>
          <w:rFonts w:ascii="仿宋_GB2312" w:eastAsia="仿宋_GB2312" w:hint="eastAsia"/>
          <w:sz w:val="32"/>
          <w:szCs w:val="32"/>
        </w:rPr>
        <w:t>医</w:t>
      </w:r>
      <w:proofErr w:type="gramEnd"/>
      <w:r>
        <w:rPr>
          <w:rFonts w:ascii="仿宋_GB2312" w:eastAsia="仿宋_GB2312" w:hint="eastAsia"/>
          <w:sz w:val="32"/>
          <w:szCs w:val="32"/>
        </w:rPr>
        <w:t>辅科室成本（包括该类科室直接成本和第一级分摊的部分）向临床科室和医技科室分摊，并实行分项结转，分摊参数可采用收入比重、工作量比重（如：门急诊人次、实际占用</w:t>
      </w:r>
      <w:proofErr w:type="gramStart"/>
      <w:r>
        <w:rPr>
          <w:rFonts w:ascii="仿宋_GB2312" w:eastAsia="仿宋_GB2312" w:hint="eastAsia"/>
          <w:sz w:val="32"/>
          <w:szCs w:val="32"/>
        </w:rPr>
        <w:t>总床日</w:t>
      </w:r>
      <w:proofErr w:type="gramEnd"/>
      <w:r>
        <w:rPr>
          <w:rFonts w:ascii="仿宋_GB2312" w:eastAsia="仿宋_GB2312" w:hint="eastAsia"/>
          <w:sz w:val="32"/>
          <w:szCs w:val="32"/>
        </w:rPr>
        <w:t>）和内部服务量等。</w:t>
      </w:r>
    </w:p>
    <w:p w:rsidR="002C02E6" w:rsidRDefault="00C917C2">
      <w:pPr>
        <w:spacing w:line="600" w:lineRule="exact"/>
        <w:ind w:firstLineChars="200" w:firstLine="640"/>
        <w:rPr>
          <w:rFonts w:ascii="仿宋_GB2312" w:eastAsia="仿宋_GB2312"/>
          <w:bCs/>
          <w:sz w:val="32"/>
          <w:szCs w:val="32"/>
        </w:rPr>
      </w:pPr>
      <w:bookmarkStart w:id="33" w:name="_Toc510947525"/>
      <w:r>
        <w:rPr>
          <w:rFonts w:ascii="仿宋_GB2312" w:eastAsia="仿宋_GB2312" w:hint="eastAsia"/>
          <w:bCs/>
          <w:sz w:val="32"/>
          <w:szCs w:val="32"/>
        </w:rPr>
        <w:t>d</w:t>
      </w:r>
      <w:r>
        <w:rPr>
          <w:rFonts w:ascii="仿宋_GB2312" w:eastAsia="仿宋_GB2312"/>
          <w:bCs/>
          <w:sz w:val="32"/>
          <w:szCs w:val="32"/>
        </w:rPr>
        <w:t>.</w:t>
      </w:r>
      <w:r>
        <w:rPr>
          <w:rFonts w:ascii="仿宋_GB2312" w:eastAsia="仿宋_GB2312" w:hint="eastAsia"/>
          <w:bCs/>
          <w:sz w:val="32"/>
          <w:szCs w:val="32"/>
        </w:rPr>
        <w:t>第三级分摊</w:t>
      </w:r>
      <w:bookmarkEnd w:id="3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将医技科室成本（包括该类科室直接成本和第一、二级分摊的部分）向临床科室分摊，分摊参数采用收入比重，分摊后形成门诊、住院临床科室的成本。医疗收入数据采集按权责发生制原则，分别按门诊与住院、临床开单与医技执行单元，采集医疗服务收入数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四类三级分摊</w:t>
      </w:r>
      <w:proofErr w:type="gramStart"/>
      <w:r>
        <w:rPr>
          <w:rFonts w:ascii="仿宋_GB2312" w:eastAsia="仿宋_GB2312" w:hint="eastAsia"/>
          <w:sz w:val="32"/>
          <w:szCs w:val="32"/>
        </w:rPr>
        <w:t>法完成</w:t>
      </w:r>
      <w:proofErr w:type="gramEnd"/>
      <w:r>
        <w:rPr>
          <w:rFonts w:ascii="仿宋_GB2312" w:eastAsia="仿宋_GB2312" w:hint="eastAsia"/>
          <w:sz w:val="32"/>
          <w:szCs w:val="32"/>
        </w:rPr>
        <w:t>后，可以完成《医院财务制度》要求的另外两张报表-“医院临床服务类科室全成本表”、“医院临床服务类科室全成本构成分析表”的编制，医院的成本通过医疗服务类科室反映出来。</w:t>
      </w:r>
    </w:p>
    <w:p w:rsidR="002C02E6" w:rsidRDefault="00C917C2">
      <w:pPr>
        <w:numPr>
          <w:ilvl w:val="0"/>
          <w:numId w:val="9"/>
        </w:numPr>
        <w:spacing w:line="600" w:lineRule="exact"/>
        <w:ind w:left="0" w:firstLineChars="200" w:firstLine="640"/>
        <w:rPr>
          <w:rFonts w:ascii="仿宋_GB2312" w:eastAsia="仿宋_GB2312"/>
          <w:sz w:val="32"/>
          <w:szCs w:val="32"/>
        </w:rPr>
      </w:pPr>
      <w:bookmarkStart w:id="34" w:name="_Toc510947526"/>
      <w:r>
        <w:rPr>
          <w:rFonts w:ascii="仿宋_GB2312" w:eastAsia="仿宋_GB2312" w:hint="eastAsia"/>
          <w:sz w:val="32"/>
          <w:szCs w:val="32"/>
        </w:rPr>
        <w:t>计算诊次成本</w:t>
      </w:r>
      <w:proofErr w:type="gramStart"/>
      <w:r>
        <w:rPr>
          <w:rFonts w:ascii="仿宋_GB2312" w:eastAsia="仿宋_GB2312" w:hint="eastAsia"/>
          <w:sz w:val="32"/>
          <w:szCs w:val="32"/>
        </w:rPr>
        <w:t>和床日成本</w:t>
      </w:r>
      <w:bookmarkEnd w:id="34"/>
      <w:proofErr w:type="gramEnd"/>
    </w:p>
    <w:p w:rsidR="002C02E6" w:rsidRDefault="00C917C2">
      <w:pPr>
        <w:spacing w:line="600" w:lineRule="exact"/>
        <w:ind w:firstLineChars="200" w:firstLine="640"/>
        <w:rPr>
          <w:rFonts w:ascii="仿宋_GB2312" w:eastAsia="仿宋_GB2312"/>
          <w:bCs/>
          <w:sz w:val="32"/>
          <w:szCs w:val="32"/>
        </w:rPr>
      </w:pPr>
      <w:bookmarkStart w:id="35" w:name="_Toc510947527"/>
      <w:r>
        <w:rPr>
          <w:rFonts w:ascii="仿宋_GB2312" w:eastAsia="仿宋_GB2312" w:hint="eastAsia"/>
          <w:sz w:val="32"/>
          <w:szCs w:val="32"/>
        </w:rPr>
        <w:t>①计算</w:t>
      </w:r>
      <w:r>
        <w:rPr>
          <w:rFonts w:ascii="仿宋_GB2312" w:eastAsia="仿宋_GB2312" w:hint="eastAsia"/>
          <w:bCs/>
          <w:sz w:val="32"/>
          <w:szCs w:val="32"/>
        </w:rPr>
        <w:t>诊次成本</w:t>
      </w:r>
      <w:bookmarkEnd w:id="3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科室成本计算完成后，进一步计算门诊诊次成本。诊次成本是门诊成本总额和科室门急诊人次的比值。公式为：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某门诊科室诊次成本=某门诊科室成本总额÷该科室门急诊人次</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院级诊次成本=∑门诊科室成本总额÷∑科室门急诊人次</w:t>
      </w:r>
    </w:p>
    <w:p w:rsidR="002C02E6" w:rsidRDefault="00C917C2">
      <w:pPr>
        <w:spacing w:line="600" w:lineRule="exact"/>
        <w:ind w:firstLineChars="200" w:firstLine="640"/>
        <w:rPr>
          <w:rFonts w:ascii="仿宋_GB2312" w:eastAsia="仿宋_GB2312"/>
          <w:bCs/>
          <w:sz w:val="32"/>
          <w:szCs w:val="32"/>
        </w:rPr>
      </w:pPr>
      <w:bookmarkStart w:id="36" w:name="_Toc510947528"/>
      <w:r>
        <w:rPr>
          <w:rFonts w:ascii="仿宋_GB2312" w:eastAsia="仿宋_GB2312" w:hint="eastAsia"/>
          <w:sz w:val="32"/>
          <w:szCs w:val="32"/>
        </w:rPr>
        <w:lastRenderedPageBreak/>
        <w:t>②</w:t>
      </w:r>
      <w:proofErr w:type="gramStart"/>
      <w:r>
        <w:rPr>
          <w:rFonts w:ascii="仿宋_GB2312" w:eastAsia="仿宋_GB2312" w:hint="eastAsia"/>
          <w:sz w:val="32"/>
          <w:szCs w:val="32"/>
        </w:rPr>
        <w:t>计算</w:t>
      </w:r>
      <w:r>
        <w:rPr>
          <w:rFonts w:ascii="仿宋_GB2312" w:eastAsia="仿宋_GB2312" w:hint="eastAsia"/>
          <w:bCs/>
          <w:sz w:val="32"/>
          <w:szCs w:val="32"/>
        </w:rPr>
        <w:t>床日成本</w:t>
      </w:r>
      <w:bookmarkEnd w:id="36"/>
      <w:proofErr w:type="gramEnd"/>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科室成本计算完成后，还需进一步计算</w:t>
      </w:r>
      <w:proofErr w:type="gramStart"/>
      <w:r>
        <w:rPr>
          <w:rFonts w:ascii="仿宋_GB2312" w:eastAsia="仿宋_GB2312" w:hint="eastAsia"/>
          <w:sz w:val="32"/>
          <w:szCs w:val="32"/>
        </w:rPr>
        <w:t>住院床日成本</w:t>
      </w:r>
      <w:proofErr w:type="gramEnd"/>
      <w:r>
        <w:rPr>
          <w:rFonts w:ascii="仿宋_GB2312" w:eastAsia="仿宋_GB2312" w:hint="eastAsia"/>
          <w:sz w:val="32"/>
          <w:szCs w:val="32"/>
        </w:rPr>
        <w:t>。</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是住院成本总额和科室实际</w:t>
      </w:r>
      <w:proofErr w:type="gramStart"/>
      <w:r>
        <w:rPr>
          <w:rFonts w:ascii="仿宋_GB2312" w:eastAsia="仿宋_GB2312" w:hint="eastAsia"/>
          <w:sz w:val="32"/>
          <w:szCs w:val="32"/>
        </w:rPr>
        <w:t>占用总床日数</w:t>
      </w:r>
      <w:proofErr w:type="gramEnd"/>
      <w:r>
        <w:rPr>
          <w:rFonts w:ascii="仿宋_GB2312" w:eastAsia="仿宋_GB2312" w:hint="eastAsia"/>
          <w:sz w:val="32"/>
          <w:szCs w:val="32"/>
        </w:rPr>
        <w:t>的比值。公式为：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某住院科室</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=某住院科室成本总额÷该科室实际</w:t>
      </w:r>
      <w:proofErr w:type="gramStart"/>
      <w:r>
        <w:rPr>
          <w:rFonts w:ascii="仿宋_GB2312" w:eastAsia="仿宋_GB2312" w:hint="eastAsia"/>
          <w:sz w:val="32"/>
          <w:szCs w:val="32"/>
        </w:rPr>
        <w:t>占用总床日数</w:t>
      </w:r>
      <w:proofErr w:type="gramEnd"/>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院级</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=∑住院科室成本总额÷∑科室实际</w:t>
      </w:r>
      <w:proofErr w:type="gramStart"/>
      <w:r>
        <w:rPr>
          <w:rFonts w:ascii="仿宋_GB2312" w:eastAsia="仿宋_GB2312" w:hint="eastAsia"/>
          <w:sz w:val="32"/>
          <w:szCs w:val="32"/>
        </w:rPr>
        <w:t>占用总床日数</w:t>
      </w:r>
      <w:proofErr w:type="gramEnd"/>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③采用</w:t>
      </w:r>
      <w:proofErr w:type="gramStart"/>
      <w:r>
        <w:rPr>
          <w:rFonts w:ascii="仿宋_GB2312" w:eastAsia="仿宋_GB2312" w:hint="eastAsia"/>
          <w:sz w:val="32"/>
          <w:szCs w:val="32"/>
        </w:rPr>
        <w:t>本量利</w:t>
      </w:r>
      <w:proofErr w:type="gramEnd"/>
      <w:r>
        <w:rPr>
          <w:rFonts w:ascii="仿宋_GB2312" w:eastAsia="仿宋_GB2312" w:hint="eastAsia"/>
          <w:sz w:val="32"/>
          <w:szCs w:val="32"/>
        </w:rPr>
        <w:t>方法计算门诊和住院业务的盈亏临界点</w:t>
      </w:r>
    </w:p>
    <w:p w:rsidR="002C02E6" w:rsidRDefault="00C917C2">
      <w:pPr>
        <w:spacing w:line="600" w:lineRule="exact"/>
        <w:ind w:firstLineChars="200" w:firstLine="640"/>
        <w:rPr>
          <w:rFonts w:ascii="仿宋_GB2312" w:eastAsia="仿宋_GB2312"/>
          <w:sz w:val="32"/>
          <w:szCs w:val="32"/>
        </w:rPr>
      </w:pPr>
      <w:proofErr w:type="gramStart"/>
      <w:r>
        <w:rPr>
          <w:rFonts w:ascii="仿宋_GB2312" w:eastAsia="仿宋_GB2312"/>
          <w:sz w:val="32"/>
          <w:szCs w:val="32"/>
        </w:rPr>
        <w:t>本量利分析</w:t>
      </w:r>
      <w:proofErr w:type="gramEnd"/>
      <w:r>
        <w:rPr>
          <w:rFonts w:ascii="仿宋_GB2312" w:eastAsia="仿宋_GB2312"/>
          <w:sz w:val="32"/>
          <w:szCs w:val="32"/>
        </w:rPr>
        <w:t>是</w:t>
      </w:r>
      <w:r>
        <w:rPr>
          <w:rFonts w:ascii="仿宋_GB2312" w:eastAsia="仿宋_GB2312" w:hint="eastAsia"/>
          <w:sz w:val="32"/>
          <w:szCs w:val="32"/>
        </w:rPr>
        <w:t>管理会计的一种工具方法，是</w:t>
      </w:r>
      <w:r>
        <w:rPr>
          <w:rFonts w:ascii="仿宋_GB2312" w:eastAsia="仿宋_GB2312"/>
          <w:sz w:val="32"/>
          <w:szCs w:val="32"/>
        </w:rPr>
        <w:t>成本</w:t>
      </w:r>
      <w:r>
        <w:rPr>
          <w:rFonts w:ascii="仿宋_GB2312" w:eastAsia="仿宋_GB2312" w:hint="eastAsia"/>
          <w:sz w:val="32"/>
          <w:szCs w:val="32"/>
        </w:rPr>
        <w:t>、</w:t>
      </w:r>
      <w:r>
        <w:rPr>
          <w:rFonts w:ascii="仿宋_GB2312" w:eastAsia="仿宋_GB2312"/>
          <w:sz w:val="32"/>
          <w:szCs w:val="32"/>
        </w:rPr>
        <w:t>销售量</w:t>
      </w:r>
      <w:r>
        <w:rPr>
          <w:rFonts w:ascii="仿宋_GB2312" w:eastAsia="仿宋_GB2312" w:hint="eastAsia"/>
          <w:sz w:val="32"/>
          <w:szCs w:val="32"/>
        </w:rPr>
        <w:t>、</w:t>
      </w:r>
      <w:r>
        <w:rPr>
          <w:rFonts w:ascii="仿宋_GB2312" w:eastAsia="仿宋_GB2312"/>
          <w:sz w:val="32"/>
          <w:szCs w:val="32"/>
        </w:rPr>
        <w:t>利润</w:t>
      </w:r>
      <w:r>
        <w:rPr>
          <w:rFonts w:ascii="仿宋_GB2312" w:eastAsia="仿宋_GB2312" w:hint="eastAsia"/>
          <w:sz w:val="32"/>
          <w:szCs w:val="32"/>
        </w:rPr>
        <w:t>之间</w:t>
      </w:r>
      <w:r>
        <w:rPr>
          <w:rFonts w:ascii="仿宋_GB2312" w:eastAsia="仿宋_GB2312"/>
          <w:sz w:val="32"/>
          <w:szCs w:val="32"/>
        </w:rPr>
        <w:t>依存关系分析的简称，也称为CVP分析(Cost Volume Profit Analysis)</w:t>
      </w:r>
      <w:r>
        <w:rPr>
          <w:rFonts w:ascii="仿宋_GB2312" w:eastAsia="仿宋_GB2312" w:hint="eastAsia"/>
          <w:sz w:val="32"/>
          <w:szCs w:val="32"/>
        </w:rPr>
        <w:t>。</w:t>
      </w:r>
      <w:r>
        <w:rPr>
          <w:rFonts w:ascii="仿宋_GB2312" w:eastAsia="仿宋_GB2312"/>
          <w:sz w:val="32"/>
          <w:szCs w:val="32"/>
        </w:rPr>
        <w:t>是在变动成本的基础上，以数学化的会计模型来揭示</w:t>
      </w:r>
      <w:hyperlink r:id="rId12" w:tgtFrame="_blank" w:history="1">
        <w:r>
          <w:rPr>
            <w:rFonts w:ascii="仿宋_GB2312" w:eastAsia="仿宋_GB2312"/>
            <w:sz w:val="32"/>
            <w:szCs w:val="32"/>
          </w:rPr>
          <w:t>固定成本</w:t>
        </w:r>
      </w:hyperlink>
      <w:r>
        <w:rPr>
          <w:rFonts w:ascii="仿宋_GB2312" w:eastAsia="仿宋_GB2312"/>
          <w:sz w:val="32"/>
          <w:szCs w:val="32"/>
        </w:rPr>
        <w:t>、变动成本、销售量、</w:t>
      </w:r>
      <w:hyperlink r:id="rId13" w:tgtFrame="_blank" w:history="1">
        <w:r>
          <w:rPr>
            <w:rFonts w:ascii="仿宋_GB2312" w:eastAsia="仿宋_GB2312"/>
            <w:sz w:val="32"/>
            <w:szCs w:val="32"/>
          </w:rPr>
          <w:t>单价</w:t>
        </w:r>
      </w:hyperlink>
      <w:r>
        <w:rPr>
          <w:rFonts w:ascii="仿宋_GB2312" w:eastAsia="仿宋_GB2312"/>
          <w:sz w:val="32"/>
          <w:szCs w:val="32"/>
        </w:rPr>
        <w:t>、销售额、利润等变量之间的内在规律性的联系，为会计预测决策和规划提供必要的财务信息的一种</w:t>
      </w:r>
      <w:hyperlink r:id="rId14" w:tgtFrame="_blank" w:history="1">
        <w:r>
          <w:rPr>
            <w:rFonts w:ascii="仿宋_GB2312" w:eastAsia="仿宋_GB2312"/>
            <w:sz w:val="32"/>
            <w:szCs w:val="32"/>
          </w:rPr>
          <w:t>定量分析方法</w:t>
        </w:r>
      </w:hyperlink>
      <w:r>
        <w:rPr>
          <w:rFonts w:ascii="仿宋_GB2312" w:eastAsia="仿宋_GB2312"/>
          <w:sz w:val="32"/>
          <w:szCs w:val="32"/>
        </w:rPr>
        <w:t>。</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a</w:t>
      </w:r>
      <w:r>
        <w:rPr>
          <w:rFonts w:ascii="仿宋_GB2312" w:eastAsia="仿宋_GB2312"/>
          <w:sz w:val="32"/>
          <w:szCs w:val="32"/>
        </w:rPr>
        <w:t>.</w:t>
      </w:r>
      <w:r>
        <w:rPr>
          <w:rFonts w:ascii="仿宋_GB2312" w:eastAsia="仿宋_GB2312" w:hint="eastAsia"/>
          <w:sz w:val="32"/>
          <w:szCs w:val="32"/>
        </w:rPr>
        <w:t>计算门诊业务盈亏临界点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从门诊看，诊疗人次数、诊次收入、诊次成本和门诊固定资产折旧费</w:t>
      </w:r>
      <w:r>
        <w:rPr>
          <w:rFonts w:ascii="仿宋_GB2312" w:eastAsia="仿宋_GB2312"/>
          <w:sz w:val="32"/>
          <w:szCs w:val="32"/>
        </w:rPr>
        <w:t>等因素同利润之间的</w:t>
      </w:r>
      <w:r>
        <w:rPr>
          <w:rFonts w:ascii="仿宋_GB2312" w:eastAsia="仿宋_GB2312" w:hint="eastAsia"/>
          <w:sz w:val="32"/>
          <w:szCs w:val="32"/>
        </w:rPr>
        <w:t>存在着</w:t>
      </w:r>
      <w:r>
        <w:rPr>
          <w:rFonts w:ascii="仿宋_GB2312" w:eastAsia="仿宋_GB2312"/>
          <w:sz w:val="32"/>
          <w:szCs w:val="32"/>
        </w:rPr>
        <w:t>相互关系</w:t>
      </w:r>
      <w:r>
        <w:rPr>
          <w:rFonts w:ascii="仿宋_GB2312" w:eastAsia="仿宋_GB2312" w:hint="eastAsia"/>
          <w:sz w:val="32"/>
          <w:szCs w:val="32"/>
        </w:rPr>
        <w:t>，可以计算门诊业务的盈亏临界点。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门诊业务</w:t>
      </w:r>
      <w:r>
        <w:rPr>
          <w:rFonts w:ascii="仿宋_GB2312" w:eastAsia="仿宋_GB2312"/>
          <w:sz w:val="32"/>
          <w:szCs w:val="32"/>
        </w:rPr>
        <w:t>盈亏临界点</w:t>
      </w:r>
      <w:r>
        <w:rPr>
          <w:rFonts w:ascii="仿宋_GB2312" w:eastAsia="仿宋_GB2312" w:hint="eastAsia"/>
          <w:sz w:val="32"/>
          <w:szCs w:val="32"/>
        </w:rPr>
        <w:t>开展诊疗人次数</w:t>
      </w:r>
      <w:r>
        <w:rPr>
          <w:rFonts w:ascii="仿宋_GB2312" w:eastAsia="仿宋_GB2312"/>
          <w:sz w:val="32"/>
          <w:szCs w:val="32"/>
        </w:rPr>
        <w:t>=</w:t>
      </w:r>
      <w:r>
        <w:rPr>
          <w:rFonts w:ascii="仿宋_GB2312" w:eastAsia="仿宋_GB2312" w:hint="eastAsia"/>
          <w:sz w:val="32"/>
          <w:szCs w:val="32"/>
        </w:rPr>
        <w:t>固定资产折旧费</w:t>
      </w:r>
      <w:r>
        <w:rPr>
          <w:rFonts w:ascii="仿宋_GB2312" w:eastAsia="仿宋_GB2312"/>
          <w:sz w:val="32"/>
          <w:szCs w:val="32"/>
        </w:rPr>
        <w:t>÷</w:t>
      </w:r>
      <w:r>
        <w:rPr>
          <w:rFonts w:ascii="仿宋_GB2312" w:eastAsia="仿宋_GB2312" w:hint="eastAsia"/>
          <w:sz w:val="32"/>
          <w:szCs w:val="32"/>
        </w:rPr>
        <w:t>（诊次收入-诊次成本）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门诊业务</w:t>
      </w:r>
      <w:r>
        <w:rPr>
          <w:rFonts w:ascii="仿宋_GB2312" w:eastAsia="仿宋_GB2312"/>
          <w:sz w:val="32"/>
          <w:szCs w:val="32"/>
        </w:rPr>
        <w:t>盈亏临界点金额=固定成本</w:t>
      </w:r>
      <w:r>
        <w:rPr>
          <w:rFonts w:ascii="仿宋_GB2312" w:eastAsia="仿宋_GB2312"/>
          <w:sz w:val="32"/>
          <w:szCs w:val="32"/>
        </w:rPr>
        <w:t>÷</w:t>
      </w:r>
      <w:proofErr w:type="gramStart"/>
      <w:r>
        <w:rPr>
          <w:rFonts w:ascii="仿宋_GB2312" w:eastAsia="仿宋_GB2312"/>
          <w:sz w:val="32"/>
          <w:szCs w:val="32"/>
        </w:rPr>
        <w:t>贡献毛益率</w:t>
      </w:r>
      <w:proofErr w:type="gramEnd"/>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其中：</w:t>
      </w:r>
      <w:proofErr w:type="gramStart"/>
      <w:r>
        <w:rPr>
          <w:rFonts w:ascii="仿宋_GB2312" w:eastAsia="仿宋_GB2312"/>
          <w:sz w:val="32"/>
          <w:szCs w:val="32"/>
        </w:rPr>
        <w:t>贡献毛益率</w:t>
      </w:r>
      <w:proofErr w:type="gramEnd"/>
      <w:r>
        <w:rPr>
          <w:rFonts w:ascii="仿宋_GB2312" w:eastAsia="仿宋_GB2312"/>
          <w:sz w:val="32"/>
          <w:szCs w:val="32"/>
        </w:rPr>
        <w:t>=（</w:t>
      </w:r>
      <w:r>
        <w:rPr>
          <w:rFonts w:ascii="仿宋_GB2312" w:eastAsia="仿宋_GB2312" w:hint="eastAsia"/>
          <w:sz w:val="32"/>
          <w:szCs w:val="32"/>
        </w:rPr>
        <w:t>诊次收入-诊次成本</w:t>
      </w:r>
      <w:r>
        <w:rPr>
          <w:rFonts w:ascii="仿宋_GB2312" w:eastAsia="仿宋_GB2312"/>
          <w:sz w:val="32"/>
          <w:szCs w:val="32"/>
        </w:rPr>
        <w:t>）</w:t>
      </w:r>
      <w:r>
        <w:rPr>
          <w:rFonts w:ascii="仿宋_GB2312" w:eastAsia="仿宋_GB2312"/>
          <w:sz w:val="32"/>
          <w:szCs w:val="32"/>
        </w:rPr>
        <w:t>÷</w:t>
      </w:r>
      <w:r>
        <w:rPr>
          <w:rFonts w:ascii="仿宋_GB2312" w:eastAsia="仿宋_GB2312" w:hint="eastAsia"/>
          <w:sz w:val="32"/>
          <w:szCs w:val="32"/>
        </w:rPr>
        <w:t>诊次收益</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b</w:t>
      </w:r>
      <w:r>
        <w:rPr>
          <w:rFonts w:ascii="仿宋_GB2312" w:eastAsia="仿宋_GB2312"/>
          <w:sz w:val="32"/>
          <w:szCs w:val="32"/>
        </w:rPr>
        <w:t>.</w:t>
      </w:r>
      <w:r>
        <w:rPr>
          <w:rFonts w:ascii="仿宋_GB2312" w:eastAsia="仿宋_GB2312" w:hint="eastAsia"/>
          <w:sz w:val="32"/>
          <w:szCs w:val="32"/>
        </w:rPr>
        <w:t>计算住院业务盈亏临界点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从住院业务看，开展床日数、</w:t>
      </w:r>
      <w:proofErr w:type="gramStart"/>
      <w:r>
        <w:rPr>
          <w:rFonts w:ascii="仿宋_GB2312" w:eastAsia="仿宋_GB2312" w:hint="eastAsia"/>
          <w:sz w:val="32"/>
          <w:szCs w:val="32"/>
        </w:rPr>
        <w:t>床日收益</w:t>
      </w:r>
      <w:proofErr w:type="gramEnd"/>
      <w:r>
        <w:rPr>
          <w:rFonts w:ascii="仿宋_GB2312" w:eastAsia="仿宋_GB2312" w:hint="eastAsia"/>
          <w:sz w:val="32"/>
          <w:szCs w:val="32"/>
        </w:rPr>
        <w:t>、</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和住院固定资产折旧费</w:t>
      </w:r>
      <w:r>
        <w:rPr>
          <w:rFonts w:ascii="仿宋_GB2312" w:eastAsia="仿宋_GB2312"/>
          <w:sz w:val="32"/>
          <w:szCs w:val="32"/>
        </w:rPr>
        <w:t>等因素同利润之间的</w:t>
      </w:r>
      <w:r>
        <w:rPr>
          <w:rFonts w:ascii="仿宋_GB2312" w:eastAsia="仿宋_GB2312" w:hint="eastAsia"/>
          <w:sz w:val="32"/>
          <w:szCs w:val="32"/>
        </w:rPr>
        <w:t>存在着</w:t>
      </w:r>
      <w:r>
        <w:rPr>
          <w:rFonts w:ascii="仿宋_GB2312" w:eastAsia="仿宋_GB2312"/>
          <w:sz w:val="32"/>
          <w:szCs w:val="32"/>
        </w:rPr>
        <w:t>相互关系</w:t>
      </w:r>
      <w:r>
        <w:rPr>
          <w:rFonts w:ascii="仿宋_GB2312" w:eastAsia="仿宋_GB2312" w:hint="eastAsia"/>
          <w:sz w:val="32"/>
          <w:szCs w:val="32"/>
        </w:rPr>
        <w:t>，可以计算住院业务盈亏临界点。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住院业务</w:t>
      </w:r>
      <w:r>
        <w:rPr>
          <w:rFonts w:ascii="仿宋_GB2312" w:eastAsia="仿宋_GB2312"/>
          <w:sz w:val="32"/>
          <w:szCs w:val="32"/>
        </w:rPr>
        <w:t>盈亏临界点</w:t>
      </w:r>
      <w:r>
        <w:rPr>
          <w:rFonts w:ascii="仿宋_GB2312" w:eastAsia="仿宋_GB2312" w:hint="eastAsia"/>
          <w:sz w:val="32"/>
          <w:szCs w:val="32"/>
        </w:rPr>
        <w:t>开展床日数</w:t>
      </w:r>
      <w:r>
        <w:rPr>
          <w:rFonts w:ascii="仿宋_GB2312" w:eastAsia="仿宋_GB2312"/>
          <w:sz w:val="32"/>
          <w:szCs w:val="32"/>
        </w:rPr>
        <w:t>=</w:t>
      </w:r>
      <w:r>
        <w:rPr>
          <w:rFonts w:ascii="仿宋_GB2312" w:eastAsia="仿宋_GB2312" w:hint="eastAsia"/>
          <w:sz w:val="32"/>
          <w:szCs w:val="32"/>
        </w:rPr>
        <w:t>住院固定资产折旧费</w:t>
      </w:r>
      <w:r>
        <w:rPr>
          <w:rFonts w:ascii="仿宋_GB2312" w:eastAsia="仿宋_GB2312"/>
          <w:sz w:val="32"/>
          <w:szCs w:val="32"/>
        </w:rPr>
        <w:t>÷</w:t>
      </w:r>
      <w:r>
        <w:rPr>
          <w:rFonts w:ascii="仿宋_GB2312" w:eastAsia="仿宋_GB2312" w:hint="eastAsia"/>
          <w:sz w:val="32"/>
          <w:szCs w:val="32"/>
        </w:rPr>
        <w:t>（</w:t>
      </w:r>
      <w:proofErr w:type="gramStart"/>
      <w:r>
        <w:rPr>
          <w:rFonts w:ascii="仿宋_GB2312" w:eastAsia="仿宋_GB2312" w:hint="eastAsia"/>
          <w:sz w:val="32"/>
          <w:szCs w:val="32"/>
        </w:rPr>
        <w:t>床日收入</w:t>
      </w:r>
      <w:proofErr w:type="gramEnd"/>
      <w:r>
        <w:rPr>
          <w:rFonts w:ascii="仿宋_GB2312" w:eastAsia="仿宋_GB2312" w:hint="eastAsia"/>
          <w:sz w:val="32"/>
          <w:szCs w:val="32"/>
        </w:rPr>
        <w:t>-</w:t>
      </w:r>
      <w:proofErr w:type="gramStart"/>
      <w:r>
        <w:rPr>
          <w:rFonts w:ascii="仿宋_GB2312" w:eastAsia="仿宋_GB2312" w:hint="eastAsia"/>
          <w:sz w:val="32"/>
          <w:szCs w:val="32"/>
        </w:rPr>
        <w:t>床日成本</w:t>
      </w:r>
      <w:proofErr w:type="gramEnd"/>
      <w:r>
        <w:rPr>
          <w:rFonts w:ascii="仿宋_GB2312" w:eastAsia="仿宋_GB2312" w:hint="eastAsia"/>
          <w:sz w:val="32"/>
          <w:szCs w:val="32"/>
        </w:rPr>
        <w:t>）</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门诊业务</w:t>
      </w:r>
      <w:r>
        <w:rPr>
          <w:rFonts w:ascii="仿宋_GB2312" w:eastAsia="仿宋_GB2312"/>
          <w:sz w:val="32"/>
          <w:szCs w:val="32"/>
        </w:rPr>
        <w:t>盈亏临界点金额=固定成本</w:t>
      </w:r>
      <w:r>
        <w:rPr>
          <w:rFonts w:ascii="仿宋_GB2312" w:eastAsia="仿宋_GB2312"/>
          <w:sz w:val="32"/>
          <w:szCs w:val="32"/>
        </w:rPr>
        <w:t>÷</w:t>
      </w:r>
      <w:proofErr w:type="gramStart"/>
      <w:r>
        <w:rPr>
          <w:rFonts w:ascii="仿宋_GB2312" w:eastAsia="仿宋_GB2312"/>
          <w:sz w:val="32"/>
          <w:szCs w:val="32"/>
        </w:rPr>
        <w:t>贡献毛益率</w:t>
      </w:r>
      <w:proofErr w:type="gramEnd"/>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其中：</w:t>
      </w:r>
      <w:proofErr w:type="gramStart"/>
      <w:r>
        <w:rPr>
          <w:rFonts w:ascii="仿宋_GB2312" w:eastAsia="仿宋_GB2312"/>
          <w:sz w:val="32"/>
          <w:szCs w:val="32"/>
        </w:rPr>
        <w:t>贡献毛益率</w:t>
      </w:r>
      <w:proofErr w:type="gramEnd"/>
      <w:r>
        <w:rPr>
          <w:rFonts w:ascii="仿宋_GB2312" w:eastAsia="仿宋_GB2312"/>
          <w:sz w:val="32"/>
          <w:szCs w:val="32"/>
        </w:rPr>
        <w:t>=（</w:t>
      </w:r>
      <w:proofErr w:type="gramStart"/>
      <w:r>
        <w:rPr>
          <w:rFonts w:ascii="仿宋_GB2312" w:eastAsia="仿宋_GB2312" w:hint="eastAsia"/>
          <w:sz w:val="32"/>
          <w:szCs w:val="32"/>
        </w:rPr>
        <w:t>床日收入</w:t>
      </w:r>
      <w:proofErr w:type="gramEnd"/>
      <w:r>
        <w:rPr>
          <w:rFonts w:ascii="仿宋_GB2312" w:eastAsia="仿宋_GB2312" w:hint="eastAsia"/>
          <w:sz w:val="32"/>
          <w:szCs w:val="32"/>
        </w:rPr>
        <w:t>-</w:t>
      </w:r>
      <w:proofErr w:type="gramStart"/>
      <w:r>
        <w:rPr>
          <w:rFonts w:ascii="仿宋_GB2312" w:eastAsia="仿宋_GB2312" w:hint="eastAsia"/>
          <w:sz w:val="32"/>
          <w:szCs w:val="32"/>
        </w:rPr>
        <w:t>床日成本</w:t>
      </w:r>
      <w:proofErr w:type="gramEnd"/>
      <w:r>
        <w:rPr>
          <w:rFonts w:ascii="仿宋_GB2312" w:eastAsia="仿宋_GB2312"/>
          <w:sz w:val="32"/>
          <w:szCs w:val="32"/>
        </w:rPr>
        <w:t>）</w:t>
      </w:r>
      <w:r>
        <w:rPr>
          <w:rFonts w:ascii="仿宋_GB2312" w:eastAsia="仿宋_GB2312"/>
          <w:sz w:val="32"/>
          <w:szCs w:val="32"/>
        </w:rPr>
        <w:t>÷</w:t>
      </w:r>
      <w:proofErr w:type="gramStart"/>
      <w:r>
        <w:rPr>
          <w:rFonts w:ascii="仿宋_GB2312" w:eastAsia="仿宋_GB2312" w:hint="eastAsia"/>
          <w:sz w:val="32"/>
          <w:szCs w:val="32"/>
        </w:rPr>
        <w:t>床日收入</w:t>
      </w:r>
      <w:proofErr w:type="gramEnd"/>
    </w:p>
    <w:p w:rsidR="002C02E6" w:rsidRDefault="002C02E6">
      <w:pPr>
        <w:spacing w:line="600" w:lineRule="exact"/>
        <w:ind w:firstLineChars="200" w:firstLine="640"/>
        <w:rPr>
          <w:rFonts w:ascii="仿宋_GB2312" w:eastAsia="仿宋_GB2312"/>
          <w:sz w:val="32"/>
          <w:szCs w:val="32"/>
        </w:rPr>
      </w:pPr>
    </w:p>
    <w:p w:rsidR="002C02E6" w:rsidRDefault="00C917C2">
      <w:pPr>
        <w:numPr>
          <w:ilvl w:val="0"/>
          <w:numId w:val="9"/>
        </w:numPr>
        <w:spacing w:line="600" w:lineRule="exact"/>
        <w:rPr>
          <w:rFonts w:ascii="仿宋_GB2312" w:eastAsia="仿宋_GB2312"/>
          <w:sz w:val="32"/>
          <w:szCs w:val="32"/>
        </w:rPr>
      </w:pPr>
      <w:bookmarkStart w:id="37" w:name="_Toc510947529"/>
      <w:r>
        <w:rPr>
          <w:rFonts w:ascii="仿宋_GB2312" w:eastAsia="仿宋_GB2312" w:hint="eastAsia"/>
          <w:sz w:val="32"/>
          <w:szCs w:val="32"/>
        </w:rPr>
        <w:t>完成医院财务制度要求的三张成本核算报表</w:t>
      </w:r>
      <w:bookmarkEnd w:id="37"/>
    </w:p>
    <w:p w:rsidR="002C02E6" w:rsidRDefault="00C917C2">
      <w:pPr>
        <w:spacing w:line="600" w:lineRule="exact"/>
        <w:ind w:firstLineChars="200" w:firstLine="640"/>
        <w:rPr>
          <w:rFonts w:ascii="仿宋_GB2312" w:eastAsia="仿宋_GB2312"/>
          <w:sz w:val="32"/>
          <w:szCs w:val="32"/>
        </w:rPr>
      </w:pPr>
      <w:bookmarkStart w:id="38" w:name="_Toc510947530"/>
      <w:r>
        <w:rPr>
          <w:rFonts w:ascii="仿宋_GB2312" w:eastAsia="仿宋_GB2312" w:hint="eastAsia"/>
          <w:sz w:val="32"/>
          <w:szCs w:val="32"/>
        </w:rPr>
        <w:t>①第一张报表-“医院各科室直接成本表”</w:t>
      </w:r>
      <w:bookmarkEnd w:id="3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在成本归集完成后，可以产生《医院财务制度》要求的第一张报表，如图所示：</w:t>
      </w:r>
    </w:p>
    <w:p w:rsidR="002C02E6" w:rsidRDefault="002C02E6">
      <w:pPr>
        <w:jc w:val="center"/>
        <w:rPr>
          <w:b/>
          <w:sz w:val="24"/>
        </w:rPr>
      </w:pPr>
    </w:p>
    <w:p w:rsidR="002C02E6" w:rsidRDefault="00C917C2">
      <w:pPr>
        <w:widowControl/>
        <w:jc w:val="left"/>
        <w:rPr>
          <w:b/>
          <w:sz w:val="24"/>
        </w:rPr>
      </w:pPr>
      <w:r>
        <w:rPr>
          <w:b/>
          <w:sz w:val="24"/>
        </w:rPr>
        <w:br w:type="page"/>
      </w:r>
    </w:p>
    <w:p w:rsidR="002C02E6" w:rsidRDefault="00C917C2">
      <w:pPr>
        <w:jc w:val="center"/>
        <w:rPr>
          <w:rFonts w:ascii="宋体" w:hAnsi="宋体"/>
          <w:b/>
          <w:sz w:val="24"/>
        </w:rPr>
      </w:pPr>
      <w:r>
        <w:rPr>
          <w:rFonts w:hint="eastAsia"/>
          <w:b/>
          <w:sz w:val="24"/>
        </w:rPr>
        <w:lastRenderedPageBreak/>
        <w:t>医院各科室直接成本表</w:t>
      </w:r>
    </w:p>
    <w:p w:rsidR="002C02E6" w:rsidRDefault="00C917C2">
      <w:pPr>
        <w:jc w:val="center"/>
        <w:rPr>
          <w:sz w:val="24"/>
        </w:rPr>
      </w:pPr>
      <w:r>
        <w:rPr>
          <w:rFonts w:hint="eastAsia"/>
          <w:sz w:val="24"/>
        </w:rPr>
        <w:t xml:space="preserve">                                                          </w:t>
      </w:r>
      <w:r>
        <w:rPr>
          <w:rFonts w:hint="eastAsia"/>
          <w:sz w:val="24"/>
        </w:rPr>
        <w:t>成本</w:t>
      </w:r>
      <w:proofErr w:type="gramStart"/>
      <w:r>
        <w:rPr>
          <w:rFonts w:hint="eastAsia"/>
          <w:sz w:val="24"/>
        </w:rPr>
        <w:t>医</w:t>
      </w:r>
      <w:proofErr w:type="gramEnd"/>
      <w:r>
        <w:rPr>
          <w:rFonts w:hint="eastAsia"/>
          <w:sz w:val="24"/>
        </w:rPr>
        <w:t>01</w:t>
      </w:r>
      <w:r>
        <w:rPr>
          <w:rFonts w:hint="eastAsia"/>
          <w:sz w:val="24"/>
        </w:rPr>
        <w:t>表</w:t>
      </w:r>
    </w:p>
    <w:p w:rsidR="002C02E6" w:rsidRDefault="002C02E6">
      <w:pPr>
        <w:rPr>
          <w:szCs w:val="21"/>
        </w:rPr>
      </w:pPr>
    </w:p>
    <w:p w:rsidR="002C02E6" w:rsidRDefault="00C917C2">
      <w:pPr>
        <w:rPr>
          <w:szCs w:val="21"/>
        </w:rPr>
      </w:pPr>
      <w:r>
        <w:rPr>
          <w:rFonts w:hint="eastAsia"/>
          <w:szCs w:val="21"/>
        </w:rPr>
        <w:t>编制单位：</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rPr>
        <w:t>单位：元</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851"/>
        <w:gridCol w:w="850"/>
        <w:gridCol w:w="709"/>
        <w:gridCol w:w="850"/>
        <w:gridCol w:w="851"/>
        <w:gridCol w:w="992"/>
        <w:gridCol w:w="686"/>
        <w:gridCol w:w="1276"/>
      </w:tblGrid>
      <w:tr w:rsidR="002C02E6">
        <w:trPr>
          <w:cantSplit/>
          <w:jc w:val="center"/>
        </w:trPr>
        <w:tc>
          <w:tcPr>
            <w:tcW w:w="1907" w:type="dxa"/>
            <w:tcBorders>
              <w:tl2br w:val="single" w:sz="4" w:space="0" w:color="auto"/>
            </w:tcBorders>
          </w:tcPr>
          <w:p w:rsidR="002C02E6" w:rsidRDefault="00C917C2">
            <w:pPr>
              <w:spacing w:line="280" w:lineRule="exact"/>
              <w:ind w:left="720" w:hangingChars="300" w:hanging="720"/>
              <w:rPr>
                <w:rFonts w:ascii="宋体" w:hAnsi="宋体"/>
                <w:sz w:val="24"/>
              </w:rPr>
            </w:pPr>
            <w:r>
              <w:rPr>
                <w:rFonts w:hint="eastAsia"/>
                <w:sz w:val="24"/>
              </w:rPr>
              <w:t xml:space="preserve">                                                      </w:t>
            </w:r>
            <w:r>
              <w:rPr>
                <w:rFonts w:ascii="宋体" w:hAnsi="宋体" w:hint="eastAsia"/>
                <w:sz w:val="18"/>
              </w:rPr>
              <w:t xml:space="preserve">        </w:t>
            </w:r>
            <w:r>
              <w:rPr>
                <w:rFonts w:ascii="宋体" w:hAnsi="宋体" w:hint="eastAsia"/>
                <w:sz w:val="24"/>
              </w:rPr>
              <w:t>成本项目</w:t>
            </w:r>
          </w:p>
          <w:p w:rsidR="002C02E6" w:rsidRDefault="002C02E6">
            <w:pPr>
              <w:spacing w:line="280" w:lineRule="exact"/>
              <w:rPr>
                <w:rFonts w:ascii="宋体" w:hAnsi="宋体"/>
                <w:sz w:val="24"/>
              </w:rPr>
            </w:pPr>
          </w:p>
          <w:p w:rsidR="002C02E6" w:rsidRDefault="002C02E6">
            <w:pPr>
              <w:spacing w:line="280" w:lineRule="exact"/>
              <w:rPr>
                <w:rFonts w:ascii="宋体" w:hAnsi="宋体"/>
                <w:sz w:val="24"/>
              </w:rPr>
            </w:pPr>
          </w:p>
          <w:p w:rsidR="002C02E6" w:rsidRDefault="00C917C2">
            <w:pPr>
              <w:spacing w:line="280" w:lineRule="exact"/>
              <w:rPr>
                <w:rFonts w:ascii="宋体" w:hAnsi="宋体"/>
                <w:sz w:val="18"/>
              </w:rPr>
            </w:pPr>
            <w:r>
              <w:rPr>
                <w:rFonts w:ascii="宋体" w:hAnsi="宋体" w:hint="eastAsia"/>
                <w:sz w:val="24"/>
              </w:rPr>
              <w:t xml:space="preserve">科室名称 </w:t>
            </w:r>
            <w:r>
              <w:rPr>
                <w:rFonts w:ascii="宋体" w:hAnsi="宋体" w:hint="eastAsia"/>
                <w:sz w:val="18"/>
              </w:rPr>
              <w:t xml:space="preserve">                        </w:t>
            </w:r>
          </w:p>
        </w:tc>
        <w:tc>
          <w:tcPr>
            <w:tcW w:w="851" w:type="dxa"/>
            <w:vAlign w:val="center"/>
          </w:tcPr>
          <w:p w:rsidR="002C02E6" w:rsidRDefault="00C917C2">
            <w:pPr>
              <w:jc w:val="center"/>
              <w:rPr>
                <w:szCs w:val="21"/>
              </w:rPr>
            </w:pPr>
            <w:r>
              <w:rPr>
                <w:rFonts w:hint="eastAsia"/>
                <w:szCs w:val="21"/>
              </w:rPr>
              <w:t>人员经费</w:t>
            </w:r>
          </w:p>
          <w:p w:rsidR="002C02E6" w:rsidRDefault="00C917C2">
            <w:pPr>
              <w:jc w:val="center"/>
              <w:rPr>
                <w:szCs w:val="21"/>
              </w:rPr>
            </w:pPr>
            <w:r>
              <w:rPr>
                <w:rFonts w:hint="eastAsia"/>
                <w:szCs w:val="21"/>
              </w:rPr>
              <w:t>(1)</w:t>
            </w:r>
          </w:p>
        </w:tc>
        <w:tc>
          <w:tcPr>
            <w:tcW w:w="850" w:type="dxa"/>
            <w:vAlign w:val="center"/>
          </w:tcPr>
          <w:p w:rsidR="002C02E6" w:rsidRDefault="00C917C2">
            <w:pPr>
              <w:jc w:val="center"/>
              <w:rPr>
                <w:szCs w:val="21"/>
              </w:rPr>
            </w:pPr>
            <w:r>
              <w:rPr>
                <w:rFonts w:hint="eastAsia"/>
                <w:szCs w:val="21"/>
              </w:rPr>
              <w:t>卫生材料费</w:t>
            </w:r>
          </w:p>
          <w:p w:rsidR="002C02E6" w:rsidRDefault="00C917C2">
            <w:pPr>
              <w:jc w:val="center"/>
              <w:rPr>
                <w:szCs w:val="21"/>
              </w:rPr>
            </w:pPr>
            <w:r>
              <w:rPr>
                <w:rFonts w:hint="eastAsia"/>
                <w:szCs w:val="21"/>
              </w:rPr>
              <w:t>(2)</w:t>
            </w:r>
          </w:p>
        </w:tc>
        <w:tc>
          <w:tcPr>
            <w:tcW w:w="709" w:type="dxa"/>
            <w:vAlign w:val="center"/>
          </w:tcPr>
          <w:p w:rsidR="002C02E6" w:rsidRDefault="00C917C2">
            <w:pPr>
              <w:jc w:val="center"/>
              <w:rPr>
                <w:szCs w:val="21"/>
              </w:rPr>
            </w:pPr>
            <w:r>
              <w:rPr>
                <w:rFonts w:hint="eastAsia"/>
                <w:szCs w:val="21"/>
              </w:rPr>
              <w:t>药品费</w:t>
            </w:r>
          </w:p>
          <w:p w:rsidR="002C02E6" w:rsidRDefault="00C917C2">
            <w:pPr>
              <w:jc w:val="center"/>
              <w:rPr>
                <w:szCs w:val="21"/>
              </w:rPr>
            </w:pPr>
            <w:r>
              <w:rPr>
                <w:rFonts w:hint="eastAsia"/>
                <w:szCs w:val="21"/>
              </w:rPr>
              <w:t>（</w:t>
            </w:r>
            <w:r>
              <w:rPr>
                <w:rFonts w:hint="eastAsia"/>
                <w:szCs w:val="21"/>
              </w:rPr>
              <w:t>3</w:t>
            </w:r>
            <w:r>
              <w:rPr>
                <w:rFonts w:hint="eastAsia"/>
                <w:szCs w:val="21"/>
              </w:rPr>
              <w:t>）</w:t>
            </w:r>
          </w:p>
        </w:tc>
        <w:tc>
          <w:tcPr>
            <w:tcW w:w="850" w:type="dxa"/>
            <w:vAlign w:val="center"/>
          </w:tcPr>
          <w:p w:rsidR="002C02E6" w:rsidRDefault="00C917C2">
            <w:pPr>
              <w:jc w:val="center"/>
              <w:rPr>
                <w:szCs w:val="21"/>
              </w:rPr>
            </w:pPr>
            <w:r>
              <w:rPr>
                <w:rFonts w:hint="eastAsia"/>
                <w:szCs w:val="21"/>
              </w:rPr>
              <w:t>固定资产折旧</w:t>
            </w:r>
          </w:p>
          <w:p w:rsidR="002C02E6" w:rsidRDefault="00C917C2">
            <w:pPr>
              <w:jc w:val="center"/>
              <w:rPr>
                <w:szCs w:val="21"/>
              </w:rPr>
            </w:pPr>
            <w:r>
              <w:rPr>
                <w:rFonts w:hint="eastAsia"/>
                <w:szCs w:val="21"/>
              </w:rPr>
              <w:t>（</w:t>
            </w:r>
            <w:r>
              <w:rPr>
                <w:rFonts w:hint="eastAsia"/>
                <w:szCs w:val="21"/>
              </w:rPr>
              <w:t>4</w:t>
            </w:r>
            <w:r>
              <w:rPr>
                <w:rFonts w:hint="eastAsia"/>
                <w:szCs w:val="21"/>
              </w:rPr>
              <w:t>）</w:t>
            </w:r>
          </w:p>
        </w:tc>
        <w:tc>
          <w:tcPr>
            <w:tcW w:w="851" w:type="dxa"/>
            <w:vAlign w:val="center"/>
          </w:tcPr>
          <w:p w:rsidR="002C02E6" w:rsidRDefault="00C917C2">
            <w:pPr>
              <w:jc w:val="center"/>
              <w:rPr>
                <w:szCs w:val="21"/>
              </w:rPr>
            </w:pPr>
            <w:r>
              <w:rPr>
                <w:rFonts w:hint="eastAsia"/>
                <w:szCs w:val="21"/>
              </w:rPr>
              <w:t>无形资产摊销</w:t>
            </w:r>
          </w:p>
          <w:p w:rsidR="002C02E6" w:rsidRDefault="00C917C2">
            <w:pPr>
              <w:jc w:val="center"/>
              <w:rPr>
                <w:szCs w:val="21"/>
              </w:rPr>
            </w:pPr>
            <w:r>
              <w:rPr>
                <w:rFonts w:hint="eastAsia"/>
                <w:szCs w:val="21"/>
              </w:rPr>
              <w:t>(5)</w:t>
            </w:r>
          </w:p>
        </w:tc>
        <w:tc>
          <w:tcPr>
            <w:tcW w:w="992" w:type="dxa"/>
            <w:vAlign w:val="center"/>
          </w:tcPr>
          <w:p w:rsidR="002C02E6" w:rsidRDefault="00C917C2">
            <w:pPr>
              <w:jc w:val="center"/>
              <w:rPr>
                <w:szCs w:val="21"/>
              </w:rPr>
            </w:pPr>
            <w:r>
              <w:rPr>
                <w:rFonts w:hint="eastAsia"/>
                <w:szCs w:val="21"/>
              </w:rPr>
              <w:t>提取医疗风险基金</w:t>
            </w:r>
          </w:p>
          <w:p w:rsidR="002C02E6" w:rsidRDefault="00C917C2">
            <w:pPr>
              <w:jc w:val="center"/>
              <w:rPr>
                <w:szCs w:val="21"/>
              </w:rPr>
            </w:pPr>
            <w:r>
              <w:rPr>
                <w:rFonts w:hint="eastAsia"/>
                <w:szCs w:val="21"/>
              </w:rPr>
              <w:t>(6)</w:t>
            </w:r>
          </w:p>
        </w:tc>
        <w:tc>
          <w:tcPr>
            <w:tcW w:w="686" w:type="dxa"/>
            <w:tcBorders>
              <w:bottom w:val="nil"/>
            </w:tcBorders>
            <w:vAlign w:val="center"/>
          </w:tcPr>
          <w:p w:rsidR="002C02E6" w:rsidRDefault="00C917C2">
            <w:pPr>
              <w:jc w:val="center"/>
              <w:rPr>
                <w:szCs w:val="21"/>
              </w:rPr>
            </w:pPr>
            <w:r>
              <w:rPr>
                <w:rFonts w:hint="eastAsia"/>
                <w:szCs w:val="21"/>
              </w:rPr>
              <w:t>其他</w:t>
            </w:r>
          </w:p>
          <w:p w:rsidR="002C02E6" w:rsidRDefault="00C917C2">
            <w:pPr>
              <w:jc w:val="center"/>
              <w:rPr>
                <w:szCs w:val="21"/>
              </w:rPr>
            </w:pPr>
            <w:r>
              <w:rPr>
                <w:rFonts w:hint="eastAsia"/>
                <w:szCs w:val="21"/>
              </w:rPr>
              <w:t>费用</w:t>
            </w:r>
          </w:p>
          <w:p w:rsidR="002C02E6" w:rsidRDefault="00C917C2">
            <w:pPr>
              <w:jc w:val="center"/>
              <w:rPr>
                <w:szCs w:val="21"/>
              </w:rPr>
            </w:pPr>
            <w:r>
              <w:rPr>
                <w:rFonts w:hint="eastAsia"/>
                <w:szCs w:val="21"/>
              </w:rPr>
              <w:t>(7)</w:t>
            </w:r>
          </w:p>
        </w:tc>
        <w:tc>
          <w:tcPr>
            <w:tcW w:w="1276" w:type="dxa"/>
            <w:vAlign w:val="center"/>
          </w:tcPr>
          <w:p w:rsidR="002C02E6" w:rsidRDefault="00C917C2">
            <w:pPr>
              <w:jc w:val="center"/>
              <w:rPr>
                <w:szCs w:val="21"/>
              </w:rPr>
            </w:pPr>
            <w:r>
              <w:rPr>
                <w:rFonts w:hint="eastAsia"/>
                <w:szCs w:val="21"/>
              </w:rPr>
              <w:t>合计</w:t>
            </w:r>
          </w:p>
          <w:p w:rsidR="002C02E6" w:rsidRDefault="00C917C2">
            <w:pPr>
              <w:jc w:val="center"/>
              <w:rPr>
                <w:szCs w:val="21"/>
              </w:rPr>
            </w:pPr>
            <w:r>
              <w:rPr>
                <w:rFonts w:hint="eastAsia"/>
                <w:szCs w:val="21"/>
              </w:rPr>
              <w:t>(8)=</w:t>
            </w:r>
            <w:r>
              <w:rPr>
                <w:rFonts w:hint="eastAsia"/>
                <w:szCs w:val="21"/>
              </w:rPr>
              <w:t>（</w:t>
            </w:r>
            <w:r>
              <w:rPr>
                <w:rFonts w:hint="eastAsia"/>
                <w:szCs w:val="21"/>
              </w:rPr>
              <w:t>1</w:t>
            </w:r>
            <w:r>
              <w:rPr>
                <w:rFonts w:hint="eastAsia"/>
                <w:szCs w:val="21"/>
              </w:rPr>
              <w:t>）</w:t>
            </w:r>
            <w:r>
              <w:rPr>
                <w:rFonts w:hint="eastAsia"/>
                <w:szCs w:val="21"/>
              </w:rPr>
              <w:t>+</w:t>
            </w:r>
            <w:r>
              <w:rPr>
                <w:rFonts w:hint="eastAsia"/>
                <w:szCs w:val="21"/>
              </w:rPr>
              <w:t>（</w:t>
            </w:r>
            <w:r>
              <w:rPr>
                <w:rFonts w:hint="eastAsia"/>
                <w:szCs w:val="21"/>
              </w:rPr>
              <w:t>2</w:t>
            </w:r>
            <w:r>
              <w:rPr>
                <w:rFonts w:hint="eastAsia"/>
                <w:szCs w:val="21"/>
              </w:rPr>
              <w:t>）</w:t>
            </w:r>
            <w:r>
              <w:rPr>
                <w:rFonts w:hint="eastAsia"/>
                <w:szCs w:val="21"/>
              </w:rPr>
              <w:t>+</w:t>
            </w:r>
            <w:r>
              <w:rPr>
                <w:rFonts w:hint="eastAsia"/>
                <w:szCs w:val="21"/>
              </w:rPr>
              <w:t>（</w:t>
            </w:r>
            <w:r>
              <w:rPr>
                <w:rFonts w:hint="eastAsia"/>
                <w:szCs w:val="21"/>
              </w:rPr>
              <w:t>3</w:t>
            </w:r>
            <w:r>
              <w:rPr>
                <w:rFonts w:hint="eastAsia"/>
                <w:szCs w:val="21"/>
              </w:rPr>
              <w:t>）</w:t>
            </w:r>
            <w:r>
              <w:rPr>
                <w:rFonts w:hint="eastAsia"/>
                <w:szCs w:val="21"/>
              </w:rPr>
              <w:t>+</w:t>
            </w:r>
            <w:r>
              <w:rPr>
                <w:rFonts w:hint="eastAsia"/>
                <w:szCs w:val="21"/>
              </w:rPr>
              <w:t>（</w:t>
            </w:r>
            <w:r>
              <w:rPr>
                <w:rFonts w:hint="eastAsia"/>
                <w:szCs w:val="21"/>
              </w:rPr>
              <w:t>4</w:t>
            </w:r>
            <w:r>
              <w:rPr>
                <w:rFonts w:hint="eastAsia"/>
                <w:szCs w:val="21"/>
              </w:rPr>
              <w:t>）</w:t>
            </w:r>
            <w:r>
              <w:rPr>
                <w:rFonts w:hint="eastAsia"/>
                <w:szCs w:val="21"/>
              </w:rPr>
              <w:t>+</w:t>
            </w:r>
            <w:r>
              <w:rPr>
                <w:rFonts w:hint="eastAsia"/>
                <w:szCs w:val="21"/>
              </w:rPr>
              <w:t>（</w:t>
            </w:r>
            <w:r>
              <w:rPr>
                <w:rFonts w:hint="eastAsia"/>
                <w:szCs w:val="21"/>
              </w:rPr>
              <w:t>5</w:t>
            </w:r>
            <w:r>
              <w:rPr>
                <w:rFonts w:hint="eastAsia"/>
                <w:szCs w:val="21"/>
              </w:rPr>
              <w:t>）</w:t>
            </w:r>
            <w:r>
              <w:rPr>
                <w:rFonts w:hint="eastAsia"/>
                <w:szCs w:val="21"/>
              </w:rPr>
              <w:t>+</w:t>
            </w:r>
            <w:r>
              <w:rPr>
                <w:rFonts w:hint="eastAsia"/>
                <w:szCs w:val="21"/>
              </w:rPr>
              <w:t>（</w:t>
            </w:r>
            <w:r>
              <w:rPr>
                <w:rFonts w:hint="eastAsia"/>
                <w:szCs w:val="21"/>
              </w:rPr>
              <w:t>6</w:t>
            </w:r>
            <w:r>
              <w:rPr>
                <w:rFonts w:hint="eastAsia"/>
                <w:szCs w:val="21"/>
              </w:rPr>
              <w:t>）</w:t>
            </w:r>
            <w:r>
              <w:rPr>
                <w:rFonts w:hint="eastAsia"/>
                <w:szCs w:val="21"/>
              </w:rPr>
              <w:t>+</w:t>
            </w:r>
            <w:r>
              <w:rPr>
                <w:rFonts w:hint="eastAsia"/>
                <w:szCs w:val="21"/>
              </w:rPr>
              <w:t>（</w:t>
            </w:r>
            <w:r>
              <w:rPr>
                <w:rFonts w:hint="eastAsia"/>
                <w:szCs w:val="21"/>
              </w:rPr>
              <w:t>7</w:t>
            </w:r>
            <w:r>
              <w:rPr>
                <w:rFonts w:hint="eastAsia"/>
                <w:szCs w:val="21"/>
              </w:rPr>
              <w:t>）</w:t>
            </w:r>
          </w:p>
        </w:tc>
      </w:tr>
      <w:tr w:rsidR="002C02E6">
        <w:trPr>
          <w:cantSplit/>
          <w:trHeight w:hRule="exact" w:val="1395"/>
          <w:jc w:val="center"/>
        </w:trPr>
        <w:tc>
          <w:tcPr>
            <w:tcW w:w="1907" w:type="dxa"/>
            <w:vAlign w:val="center"/>
          </w:tcPr>
          <w:p w:rsidR="002C02E6" w:rsidRDefault="00C917C2">
            <w:pPr>
              <w:jc w:val="center"/>
              <w:rPr>
                <w:szCs w:val="21"/>
              </w:rPr>
            </w:pPr>
            <w:r>
              <w:rPr>
                <w:rFonts w:hint="eastAsia"/>
                <w:szCs w:val="21"/>
              </w:rPr>
              <w:t>临床服务类科室</w:t>
            </w:r>
            <w:r>
              <w:rPr>
                <w:rFonts w:hint="eastAsia"/>
                <w:szCs w:val="21"/>
              </w:rPr>
              <w:t>1</w:t>
            </w:r>
          </w:p>
          <w:p w:rsidR="002C02E6" w:rsidRDefault="00C917C2">
            <w:pPr>
              <w:jc w:val="center"/>
              <w:rPr>
                <w:szCs w:val="21"/>
              </w:rPr>
            </w:pPr>
            <w:r>
              <w:rPr>
                <w:rFonts w:hint="eastAsia"/>
                <w:szCs w:val="21"/>
              </w:rPr>
              <w:t>临床服务类科室</w:t>
            </w:r>
            <w:r>
              <w:rPr>
                <w:rFonts w:hint="eastAsia"/>
                <w:szCs w:val="21"/>
              </w:rPr>
              <w:t>2</w:t>
            </w:r>
          </w:p>
          <w:p w:rsidR="002C02E6" w:rsidRDefault="00C917C2">
            <w:pPr>
              <w:jc w:val="center"/>
              <w:rPr>
                <w:szCs w:val="21"/>
              </w:rPr>
            </w:pPr>
            <w:r>
              <w:rPr>
                <w:szCs w:val="21"/>
              </w:rPr>
              <w:t>…</w:t>
            </w:r>
          </w:p>
          <w:p w:rsidR="002C02E6" w:rsidRDefault="00C917C2">
            <w:pPr>
              <w:jc w:val="center"/>
              <w:rPr>
                <w:szCs w:val="21"/>
              </w:rPr>
            </w:pPr>
            <w:r>
              <w:rPr>
                <w:rFonts w:hint="eastAsia"/>
                <w:szCs w:val="21"/>
              </w:rPr>
              <w:t>小计</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r w:rsidR="002C02E6">
        <w:trPr>
          <w:cantSplit/>
          <w:trHeight w:hRule="exact" w:val="1402"/>
          <w:jc w:val="center"/>
        </w:trPr>
        <w:tc>
          <w:tcPr>
            <w:tcW w:w="1907" w:type="dxa"/>
            <w:vAlign w:val="center"/>
          </w:tcPr>
          <w:p w:rsidR="002C02E6" w:rsidRDefault="00C917C2">
            <w:pPr>
              <w:jc w:val="center"/>
              <w:rPr>
                <w:szCs w:val="21"/>
              </w:rPr>
            </w:pPr>
            <w:r>
              <w:rPr>
                <w:rFonts w:hint="eastAsia"/>
                <w:szCs w:val="21"/>
              </w:rPr>
              <w:t>医疗技术类科室</w:t>
            </w:r>
            <w:r>
              <w:rPr>
                <w:rFonts w:hint="eastAsia"/>
                <w:szCs w:val="21"/>
              </w:rPr>
              <w:t>1</w:t>
            </w:r>
          </w:p>
          <w:p w:rsidR="002C02E6" w:rsidRDefault="00C917C2">
            <w:pPr>
              <w:jc w:val="center"/>
              <w:rPr>
                <w:szCs w:val="21"/>
              </w:rPr>
            </w:pPr>
            <w:r>
              <w:rPr>
                <w:rFonts w:hint="eastAsia"/>
                <w:szCs w:val="21"/>
              </w:rPr>
              <w:t>医疗技术类科室</w:t>
            </w:r>
            <w:r>
              <w:rPr>
                <w:rFonts w:hint="eastAsia"/>
                <w:szCs w:val="21"/>
              </w:rPr>
              <w:t>2</w:t>
            </w:r>
          </w:p>
          <w:p w:rsidR="002C02E6" w:rsidRDefault="00C917C2">
            <w:pPr>
              <w:jc w:val="center"/>
              <w:rPr>
                <w:szCs w:val="21"/>
              </w:rPr>
            </w:pPr>
            <w:r>
              <w:rPr>
                <w:szCs w:val="21"/>
              </w:rPr>
              <w:t>…</w:t>
            </w:r>
          </w:p>
          <w:p w:rsidR="002C02E6" w:rsidRDefault="00C917C2">
            <w:pPr>
              <w:jc w:val="center"/>
              <w:rPr>
                <w:szCs w:val="21"/>
              </w:rPr>
            </w:pPr>
            <w:r>
              <w:rPr>
                <w:rFonts w:hint="eastAsia"/>
                <w:szCs w:val="21"/>
              </w:rPr>
              <w:t>小计</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r w:rsidR="002C02E6">
        <w:trPr>
          <w:cantSplit/>
          <w:trHeight w:hRule="exact" w:val="1403"/>
          <w:jc w:val="center"/>
        </w:trPr>
        <w:tc>
          <w:tcPr>
            <w:tcW w:w="1907" w:type="dxa"/>
            <w:vAlign w:val="center"/>
          </w:tcPr>
          <w:p w:rsidR="002C02E6" w:rsidRDefault="00C917C2">
            <w:pPr>
              <w:jc w:val="center"/>
              <w:rPr>
                <w:szCs w:val="21"/>
              </w:rPr>
            </w:pPr>
            <w:r>
              <w:rPr>
                <w:rFonts w:hint="eastAsia"/>
                <w:szCs w:val="21"/>
              </w:rPr>
              <w:t>医疗辅助类科室</w:t>
            </w:r>
            <w:r>
              <w:rPr>
                <w:rFonts w:hint="eastAsia"/>
                <w:szCs w:val="21"/>
              </w:rPr>
              <w:t>1</w:t>
            </w:r>
          </w:p>
          <w:p w:rsidR="002C02E6" w:rsidRDefault="00C917C2">
            <w:pPr>
              <w:jc w:val="center"/>
              <w:rPr>
                <w:szCs w:val="21"/>
              </w:rPr>
            </w:pPr>
            <w:r>
              <w:rPr>
                <w:rFonts w:hint="eastAsia"/>
                <w:szCs w:val="21"/>
              </w:rPr>
              <w:t>医疗辅助类科室</w:t>
            </w:r>
            <w:r>
              <w:rPr>
                <w:rFonts w:hint="eastAsia"/>
                <w:szCs w:val="21"/>
              </w:rPr>
              <w:t>2</w:t>
            </w:r>
          </w:p>
          <w:p w:rsidR="002C02E6" w:rsidRDefault="00C917C2">
            <w:pPr>
              <w:jc w:val="center"/>
              <w:rPr>
                <w:szCs w:val="21"/>
              </w:rPr>
            </w:pPr>
            <w:r>
              <w:rPr>
                <w:szCs w:val="21"/>
              </w:rPr>
              <w:t>…</w:t>
            </w:r>
          </w:p>
          <w:p w:rsidR="002C02E6" w:rsidRDefault="00C917C2">
            <w:pPr>
              <w:jc w:val="center"/>
              <w:rPr>
                <w:szCs w:val="21"/>
              </w:rPr>
            </w:pPr>
            <w:r>
              <w:rPr>
                <w:rFonts w:hint="eastAsia"/>
                <w:szCs w:val="21"/>
              </w:rPr>
              <w:t>小计</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r w:rsidR="002C02E6">
        <w:trPr>
          <w:cantSplit/>
          <w:trHeight w:hRule="exact" w:val="340"/>
          <w:jc w:val="center"/>
        </w:trPr>
        <w:tc>
          <w:tcPr>
            <w:tcW w:w="1907" w:type="dxa"/>
            <w:vAlign w:val="center"/>
          </w:tcPr>
          <w:p w:rsidR="002C02E6" w:rsidRDefault="00C917C2">
            <w:pPr>
              <w:jc w:val="center"/>
              <w:rPr>
                <w:szCs w:val="21"/>
              </w:rPr>
            </w:pPr>
            <w:r>
              <w:rPr>
                <w:rFonts w:hint="eastAsia"/>
                <w:szCs w:val="21"/>
              </w:rPr>
              <w:t>医疗业务成本合计</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r w:rsidR="002C02E6">
        <w:trPr>
          <w:cantSplit/>
          <w:trHeight w:hRule="exact" w:val="340"/>
          <w:jc w:val="center"/>
        </w:trPr>
        <w:tc>
          <w:tcPr>
            <w:tcW w:w="1907" w:type="dxa"/>
            <w:vAlign w:val="center"/>
          </w:tcPr>
          <w:p w:rsidR="002C02E6" w:rsidRDefault="00C917C2">
            <w:pPr>
              <w:jc w:val="center"/>
              <w:rPr>
                <w:szCs w:val="21"/>
              </w:rPr>
            </w:pPr>
            <w:r>
              <w:rPr>
                <w:rFonts w:hint="eastAsia"/>
                <w:szCs w:val="21"/>
              </w:rPr>
              <w:t>管理费用</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r w:rsidR="002C02E6">
        <w:trPr>
          <w:cantSplit/>
          <w:trHeight w:hRule="exact" w:val="340"/>
          <w:jc w:val="center"/>
        </w:trPr>
        <w:tc>
          <w:tcPr>
            <w:tcW w:w="1907" w:type="dxa"/>
            <w:vAlign w:val="center"/>
          </w:tcPr>
          <w:p w:rsidR="002C02E6" w:rsidRDefault="00C917C2">
            <w:pPr>
              <w:jc w:val="center"/>
              <w:rPr>
                <w:szCs w:val="21"/>
              </w:rPr>
            </w:pPr>
            <w:r>
              <w:rPr>
                <w:rFonts w:hint="eastAsia"/>
                <w:szCs w:val="21"/>
              </w:rPr>
              <w:t>本月总计</w:t>
            </w:r>
          </w:p>
        </w:tc>
        <w:tc>
          <w:tcPr>
            <w:tcW w:w="851" w:type="dxa"/>
          </w:tcPr>
          <w:p w:rsidR="002C02E6" w:rsidRDefault="002C02E6">
            <w:pPr>
              <w:rPr>
                <w:szCs w:val="21"/>
              </w:rPr>
            </w:pPr>
          </w:p>
        </w:tc>
        <w:tc>
          <w:tcPr>
            <w:tcW w:w="850" w:type="dxa"/>
          </w:tcPr>
          <w:p w:rsidR="002C02E6" w:rsidRDefault="002C02E6">
            <w:pPr>
              <w:rPr>
                <w:szCs w:val="21"/>
              </w:rPr>
            </w:pPr>
          </w:p>
        </w:tc>
        <w:tc>
          <w:tcPr>
            <w:tcW w:w="709" w:type="dxa"/>
          </w:tcPr>
          <w:p w:rsidR="002C02E6" w:rsidRDefault="002C02E6">
            <w:pPr>
              <w:rPr>
                <w:szCs w:val="21"/>
              </w:rPr>
            </w:pPr>
          </w:p>
        </w:tc>
        <w:tc>
          <w:tcPr>
            <w:tcW w:w="850" w:type="dxa"/>
          </w:tcPr>
          <w:p w:rsidR="002C02E6" w:rsidRDefault="002C02E6">
            <w:pPr>
              <w:rPr>
                <w:szCs w:val="21"/>
              </w:rPr>
            </w:pPr>
          </w:p>
        </w:tc>
        <w:tc>
          <w:tcPr>
            <w:tcW w:w="851" w:type="dxa"/>
          </w:tcPr>
          <w:p w:rsidR="002C02E6" w:rsidRDefault="002C02E6">
            <w:pPr>
              <w:rPr>
                <w:szCs w:val="21"/>
              </w:rPr>
            </w:pPr>
          </w:p>
        </w:tc>
        <w:tc>
          <w:tcPr>
            <w:tcW w:w="992" w:type="dxa"/>
          </w:tcPr>
          <w:p w:rsidR="002C02E6" w:rsidRDefault="002C02E6">
            <w:pPr>
              <w:rPr>
                <w:szCs w:val="21"/>
              </w:rPr>
            </w:pPr>
          </w:p>
        </w:tc>
        <w:tc>
          <w:tcPr>
            <w:tcW w:w="686" w:type="dxa"/>
          </w:tcPr>
          <w:p w:rsidR="002C02E6" w:rsidRDefault="002C02E6">
            <w:pPr>
              <w:rPr>
                <w:szCs w:val="21"/>
              </w:rPr>
            </w:pPr>
          </w:p>
        </w:tc>
        <w:tc>
          <w:tcPr>
            <w:tcW w:w="1276" w:type="dxa"/>
          </w:tcPr>
          <w:p w:rsidR="002C02E6" w:rsidRDefault="002C02E6">
            <w:pPr>
              <w:rPr>
                <w:szCs w:val="21"/>
              </w:rPr>
            </w:pPr>
          </w:p>
        </w:tc>
      </w:tr>
    </w:tbl>
    <w:p w:rsidR="002C02E6" w:rsidRDefault="00C917C2">
      <w:pPr>
        <w:rPr>
          <w:szCs w:val="21"/>
        </w:rPr>
      </w:pPr>
      <w:r>
        <w:rPr>
          <w:rFonts w:hint="eastAsia"/>
          <w:szCs w:val="21"/>
        </w:rPr>
        <w:t>说明：</w:t>
      </w:r>
      <w:r>
        <w:rPr>
          <w:rFonts w:hint="eastAsia"/>
          <w:szCs w:val="21"/>
        </w:rPr>
        <w:t>1.</w:t>
      </w:r>
      <w:r>
        <w:rPr>
          <w:rFonts w:hint="eastAsia"/>
          <w:szCs w:val="21"/>
        </w:rPr>
        <w:t>本表反映管理费用和医疗技术、辅助类科室成本分摊至临床服务类科室成本前各科室直接成本情况。</w:t>
      </w:r>
    </w:p>
    <w:p w:rsidR="002C02E6" w:rsidRDefault="00C917C2">
      <w:pPr>
        <w:rPr>
          <w:szCs w:val="21"/>
        </w:rPr>
      </w:pPr>
      <w:r>
        <w:rPr>
          <w:rFonts w:hint="eastAsia"/>
          <w:szCs w:val="21"/>
        </w:rPr>
        <w:t>2.</w:t>
      </w:r>
      <w:r>
        <w:rPr>
          <w:rFonts w:hint="eastAsia"/>
          <w:szCs w:val="21"/>
        </w:rPr>
        <w:t>医疗业务成本合计</w:t>
      </w:r>
      <w:r>
        <w:rPr>
          <w:rFonts w:hint="eastAsia"/>
          <w:szCs w:val="21"/>
        </w:rPr>
        <w:t>=</w:t>
      </w:r>
      <w:r>
        <w:rPr>
          <w:rFonts w:hint="eastAsia"/>
          <w:szCs w:val="21"/>
        </w:rPr>
        <w:t>临床服务类科室成本小计</w:t>
      </w:r>
      <w:r>
        <w:rPr>
          <w:rFonts w:hint="eastAsia"/>
          <w:szCs w:val="21"/>
        </w:rPr>
        <w:t>+</w:t>
      </w:r>
      <w:r>
        <w:rPr>
          <w:rFonts w:hint="eastAsia"/>
          <w:szCs w:val="21"/>
        </w:rPr>
        <w:t>医疗技术类科室成本小计</w:t>
      </w:r>
      <w:r>
        <w:rPr>
          <w:rFonts w:hint="eastAsia"/>
          <w:szCs w:val="21"/>
        </w:rPr>
        <w:t>+</w:t>
      </w:r>
      <w:r>
        <w:rPr>
          <w:rFonts w:hint="eastAsia"/>
          <w:szCs w:val="21"/>
        </w:rPr>
        <w:t>医疗辅助类科室成本小计</w:t>
      </w:r>
    </w:p>
    <w:p w:rsidR="002C02E6" w:rsidRDefault="00C917C2">
      <w:pPr>
        <w:rPr>
          <w:szCs w:val="21"/>
        </w:rPr>
      </w:pPr>
      <w:r>
        <w:rPr>
          <w:rFonts w:hint="eastAsia"/>
          <w:szCs w:val="21"/>
        </w:rPr>
        <w:t>3.</w:t>
      </w:r>
      <w:r>
        <w:rPr>
          <w:rFonts w:hint="eastAsia"/>
          <w:szCs w:val="21"/>
        </w:rPr>
        <w:t>本月总计</w:t>
      </w:r>
      <w:r>
        <w:rPr>
          <w:rFonts w:hint="eastAsia"/>
          <w:szCs w:val="21"/>
        </w:rPr>
        <w:t>=</w:t>
      </w:r>
      <w:r>
        <w:rPr>
          <w:rFonts w:hint="eastAsia"/>
          <w:szCs w:val="21"/>
        </w:rPr>
        <w:t>医疗业务成本合计</w:t>
      </w:r>
      <w:r>
        <w:rPr>
          <w:rFonts w:hint="eastAsia"/>
          <w:szCs w:val="21"/>
        </w:rPr>
        <w:t>+</w:t>
      </w:r>
      <w:r>
        <w:rPr>
          <w:rFonts w:hint="eastAsia"/>
          <w:szCs w:val="21"/>
        </w:rPr>
        <w:t>管理费用</w:t>
      </w:r>
    </w:p>
    <w:p w:rsidR="002C02E6" w:rsidRDefault="00C917C2">
      <w:pPr>
        <w:spacing w:line="600" w:lineRule="exact"/>
        <w:ind w:firstLineChars="200" w:firstLine="640"/>
        <w:rPr>
          <w:rFonts w:ascii="仿宋_GB2312" w:eastAsia="仿宋_GB2312"/>
          <w:sz w:val="32"/>
          <w:szCs w:val="32"/>
        </w:rPr>
      </w:pPr>
      <w:bookmarkStart w:id="39" w:name="_Toc510947531"/>
      <w:r>
        <w:rPr>
          <w:rFonts w:ascii="仿宋_GB2312" w:eastAsia="仿宋_GB2312" w:hint="eastAsia"/>
          <w:sz w:val="32"/>
          <w:szCs w:val="32"/>
        </w:rPr>
        <w:t>②第二张报表-“医院临床服务类科室全成本表”</w:t>
      </w:r>
      <w:bookmarkEnd w:id="39"/>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在四类三级分摊完成后，可以产生《医院财务制度》要求的第二张报表“医院临床服务类科室全成本表”，如图所示：</w:t>
      </w:r>
    </w:p>
    <w:p w:rsidR="002C02E6" w:rsidRDefault="00C917C2">
      <w:pPr>
        <w:widowControl/>
        <w:jc w:val="left"/>
        <w:rPr>
          <w:b/>
          <w:sz w:val="24"/>
        </w:rPr>
      </w:pPr>
      <w:r>
        <w:rPr>
          <w:b/>
          <w:sz w:val="24"/>
        </w:rPr>
        <w:br w:type="page"/>
      </w:r>
    </w:p>
    <w:p w:rsidR="002C02E6" w:rsidRDefault="00C917C2">
      <w:pPr>
        <w:jc w:val="center"/>
        <w:rPr>
          <w:rFonts w:ascii="宋体" w:hAnsi="宋体"/>
          <w:b/>
          <w:sz w:val="24"/>
        </w:rPr>
      </w:pPr>
      <w:r>
        <w:rPr>
          <w:rFonts w:hint="eastAsia"/>
          <w:b/>
          <w:sz w:val="24"/>
        </w:rPr>
        <w:lastRenderedPageBreak/>
        <w:t>医院临床服务类科室全成本表</w:t>
      </w:r>
    </w:p>
    <w:p w:rsidR="002C02E6" w:rsidRDefault="00C917C2">
      <w:pPr>
        <w:jc w:val="right"/>
        <w:rPr>
          <w:sz w:val="24"/>
        </w:rPr>
      </w:pPr>
      <w:r>
        <w:rPr>
          <w:rFonts w:hint="eastAsia"/>
          <w:sz w:val="24"/>
        </w:rPr>
        <w:t xml:space="preserve">                                                                                                         </w:t>
      </w:r>
      <w:r>
        <w:rPr>
          <w:rFonts w:hint="eastAsia"/>
          <w:sz w:val="24"/>
        </w:rPr>
        <w:t>成本</w:t>
      </w:r>
      <w:proofErr w:type="gramStart"/>
      <w:r>
        <w:rPr>
          <w:rFonts w:hint="eastAsia"/>
          <w:sz w:val="24"/>
        </w:rPr>
        <w:t>医</w:t>
      </w:r>
      <w:proofErr w:type="gramEnd"/>
      <w:r>
        <w:rPr>
          <w:rFonts w:hint="eastAsia"/>
          <w:sz w:val="24"/>
        </w:rPr>
        <w:t>02</w:t>
      </w:r>
      <w:r>
        <w:rPr>
          <w:rFonts w:hint="eastAsia"/>
          <w:sz w:val="24"/>
        </w:rPr>
        <w:t>表</w:t>
      </w:r>
    </w:p>
    <w:p w:rsidR="002C02E6" w:rsidRDefault="00C917C2">
      <w:pPr>
        <w:rPr>
          <w:szCs w:val="21"/>
        </w:rPr>
      </w:pPr>
      <w:r>
        <w:rPr>
          <w:rFonts w:hint="eastAsia"/>
          <w:szCs w:val="21"/>
        </w:rPr>
        <w:t>编制单位：</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357"/>
        <w:gridCol w:w="357"/>
        <w:gridCol w:w="357"/>
        <w:gridCol w:w="357"/>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2C02E6">
        <w:trPr>
          <w:cantSplit/>
          <w:jc w:val="center"/>
        </w:trPr>
        <w:tc>
          <w:tcPr>
            <w:tcW w:w="467" w:type="dxa"/>
            <w:vMerge w:val="restart"/>
            <w:tcBorders>
              <w:tl2br w:val="single" w:sz="4" w:space="0" w:color="auto"/>
            </w:tcBorders>
          </w:tcPr>
          <w:p w:rsidR="002C02E6" w:rsidRDefault="00C917C2">
            <w:pPr>
              <w:spacing w:line="280" w:lineRule="exact"/>
              <w:ind w:left="720" w:hangingChars="300" w:hanging="720"/>
              <w:rPr>
                <w:rFonts w:ascii="宋体" w:hAnsi="宋体"/>
                <w:sz w:val="24"/>
              </w:rPr>
            </w:pPr>
            <w:r>
              <w:rPr>
                <w:rFonts w:hint="eastAsia"/>
                <w:sz w:val="24"/>
              </w:rPr>
              <w:t xml:space="preserve">                                                      </w:t>
            </w:r>
            <w:r>
              <w:rPr>
                <w:rFonts w:ascii="宋体" w:hAnsi="宋体" w:hint="eastAsia"/>
                <w:sz w:val="18"/>
              </w:rPr>
              <w:t xml:space="preserve">        </w:t>
            </w:r>
            <w:r>
              <w:rPr>
                <w:rFonts w:ascii="宋体" w:hAnsi="宋体" w:hint="eastAsia"/>
                <w:sz w:val="24"/>
              </w:rPr>
              <w:t>成本项目</w:t>
            </w:r>
          </w:p>
          <w:p w:rsidR="002C02E6" w:rsidRDefault="002C02E6">
            <w:pPr>
              <w:spacing w:line="280" w:lineRule="exact"/>
              <w:rPr>
                <w:rFonts w:ascii="宋体" w:hAnsi="宋体"/>
                <w:sz w:val="24"/>
              </w:rPr>
            </w:pPr>
          </w:p>
          <w:p w:rsidR="002C02E6" w:rsidRDefault="00C917C2">
            <w:pPr>
              <w:spacing w:line="280" w:lineRule="exact"/>
              <w:rPr>
                <w:rFonts w:ascii="宋体" w:hAnsi="宋体"/>
                <w:sz w:val="18"/>
              </w:rPr>
            </w:pPr>
            <w:r>
              <w:rPr>
                <w:rFonts w:ascii="宋体" w:hAnsi="宋体" w:hint="eastAsia"/>
                <w:sz w:val="24"/>
              </w:rPr>
              <w:t xml:space="preserve">科室名称 </w:t>
            </w:r>
            <w:r>
              <w:rPr>
                <w:rFonts w:ascii="宋体" w:hAnsi="宋体" w:hint="eastAsia"/>
                <w:sz w:val="18"/>
              </w:rPr>
              <w:t xml:space="preserve">                        </w:t>
            </w:r>
          </w:p>
        </w:tc>
        <w:tc>
          <w:tcPr>
            <w:tcW w:w="0" w:type="auto"/>
            <w:gridSpan w:val="3"/>
            <w:vAlign w:val="center"/>
          </w:tcPr>
          <w:p w:rsidR="002C02E6" w:rsidRDefault="00C917C2">
            <w:pPr>
              <w:jc w:val="center"/>
              <w:rPr>
                <w:szCs w:val="21"/>
              </w:rPr>
            </w:pPr>
            <w:r>
              <w:rPr>
                <w:rFonts w:hint="eastAsia"/>
                <w:szCs w:val="21"/>
              </w:rPr>
              <w:t>人员经费</w:t>
            </w:r>
          </w:p>
          <w:p w:rsidR="002C02E6" w:rsidRDefault="00C917C2">
            <w:pPr>
              <w:jc w:val="center"/>
              <w:rPr>
                <w:szCs w:val="21"/>
              </w:rPr>
            </w:pPr>
            <w:r>
              <w:rPr>
                <w:rFonts w:hint="eastAsia"/>
                <w:szCs w:val="21"/>
              </w:rPr>
              <w:t>(1)</w:t>
            </w:r>
          </w:p>
        </w:tc>
        <w:tc>
          <w:tcPr>
            <w:tcW w:w="0" w:type="auto"/>
            <w:gridSpan w:val="3"/>
            <w:vAlign w:val="center"/>
          </w:tcPr>
          <w:p w:rsidR="002C02E6" w:rsidRDefault="00C917C2">
            <w:pPr>
              <w:jc w:val="center"/>
              <w:rPr>
                <w:szCs w:val="21"/>
              </w:rPr>
            </w:pPr>
            <w:r>
              <w:rPr>
                <w:rFonts w:hint="eastAsia"/>
                <w:szCs w:val="21"/>
              </w:rPr>
              <w:t>卫生材料费</w:t>
            </w:r>
          </w:p>
          <w:p w:rsidR="002C02E6" w:rsidRDefault="00C917C2">
            <w:pPr>
              <w:jc w:val="center"/>
              <w:rPr>
                <w:szCs w:val="21"/>
              </w:rPr>
            </w:pPr>
            <w:r>
              <w:rPr>
                <w:rFonts w:hint="eastAsia"/>
                <w:szCs w:val="21"/>
              </w:rPr>
              <w:t>(2)</w:t>
            </w:r>
          </w:p>
        </w:tc>
        <w:tc>
          <w:tcPr>
            <w:tcW w:w="0" w:type="auto"/>
            <w:gridSpan w:val="3"/>
            <w:vAlign w:val="center"/>
          </w:tcPr>
          <w:p w:rsidR="002C02E6" w:rsidRDefault="00C917C2">
            <w:pPr>
              <w:jc w:val="center"/>
              <w:rPr>
                <w:szCs w:val="21"/>
              </w:rPr>
            </w:pPr>
            <w:r>
              <w:rPr>
                <w:rFonts w:hint="eastAsia"/>
                <w:szCs w:val="21"/>
              </w:rPr>
              <w:t>药品费</w:t>
            </w:r>
          </w:p>
          <w:p w:rsidR="002C02E6" w:rsidRDefault="00C917C2">
            <w:pPr>
              <w:jc w:val="center"/>
              <w:rPr>
                <w:szCs w:val="21"/>
              </w:rPr>
            </w:pPr>
            <w:r>
              <w:rPr>
                <w:rFonts w:hint="eastAsia"/>
                <w:szCs w:val="21"/>
              </w:rPr>
              <w:t>（</w:t>
            </w:r>
            <w:r>
              <w:rPr>
                <w:rFonts w:hint="eastAsia"/>
                <w:szCs w:val="21"/>
              </w:rPr>
              <w:t>3</w:t>
            </w:r>
            <w:r>
              <w:rPr>
                <w:rFonts w:hint="eastAsia"/>
                <w:szCs w:val="21"/>
              </w:rPr>
              <w:t>）</w:t>
            </w:r>
          </w:p>
        </w:tc>
        <w:tc>
          <w:tcPr>
            <w:tcW w:w="0" w:type="auto"/>
            <w:gridSpan w:val="3"/>
            <w:vAlign w:val="center"/>
          </w:tcPr>
          <w:p w:rsidR="002C02E6" w:rsidRDefault="00C917C2">
            <w:pPr>
              <w:jc w:val="center"/>
              <w:rPr>
                <w:szCs w:val="21"/>
              </w:rPr>
            </w:pPr>
            <w:r>
              <w:rPr>
                <w:rFonts w:hint="eastAsia"/>
                <w:szCs w:val="21"/>
              </w:rPr>
              <w:t>固定资产折旧</w:t>
            </w:r>
          </w:p>
          <w:p w:rsidR="002C02E6" w:rsidRDefault="00C917C2">
            <w:pPr>
              <w:jc w:val="center"/>
              <w:rPr>
                <w:szCs w:val="21"/>
              </w:rPr>
            </w:pPr>
            <w:r>
              <w:rPr>
                <w:rFonts w:hint="eastAsia"/>
                <w:szCs w:val="21"/>
              </w:rPr>
              <w:t>（</w:t>
            </w:r>
            <w:r>
              <w:rPr>
                <w:rFonts w:hint="eastAsia"/>
                <w:szCs w:val="21"/>
              </w:rPr>
              <w:t>4</w:t>
            </w:r>
            <w:r>
              <w:rPr>
                <w:rFonts w:hint="eastAsia"/>
                <w:szCs w:val="21"/>
              </w:rPr>
              <w:t>）</w:t>
            </w:r>
          </w:p>
        </w:tc>
        <w:tc>
          <w:tcPr>
            <w:tcW w:w="0" w:type="auto"/>
            <w:gridSpan w:val="3"/>
            <w:vAlign w:val="center"/>
          </w:tcPr>
          <w:p w:rsidR="002C02E6" w:rsidRDefault="00C917C2">
            <w:pPr>
              <w:jc w:val="center"/>
              <w:rPr>
                <w:szCs w:val="21"/>
              </w:rPr>
            </w:pPr>
            <w:r>
              <w:rPr>
                <w:rFonts w:hint="eastAsia"/>
                <w:szCs w:val="21"/>
              </w:rPr>
              <w:t>无形资产摊销</w:t>
            </w:r>
          </w:p>
          <w:p w:rsidR="002C02E6" w:rsidRDefault="00C917C2">
            <w:pPr>
              <w:jc w:val="center"/>
              <w:rPr>
                <w:szCs w:val="21"/>
              </w:rPr>
            </w:pPr>
            <w:r>
              <w:rPr>
                <w:rFonts w:hint="eastAsia"/>
                <w:szCs w:val="21"/>
              </w:rPr>
              <w:t>(5)</w:t>
            </w:r>
          </w:p>
        </w:tc>
        <w:tc>
          <w:tcPr>
            <w:tcW w:w="0" w:type="auto"/>
            <w:gridSpan w:val="3"/>
            <w:vAlign w:val="center"/>
          </w:tcPr>
          <w:p w:rsidR="002C02E6" w:rsidRDefault="00C917C2">
            <w:pPr>
              <w:jc w:val="center"/>
              <w:rPr>
                <w:szCs w:val="21"/>
              </w:rPr>
            </w:pPr>
            <w:r>
              <w:rPr>
                <w:rFonts w:hint="eastAsia"/>
                <w:szCs w:val="21"/>
              </w:rPr>
              <w:t>提取医疗风险基金</w:t>
            </w:r>
          </w:p>
          <w:p w:rsidR="002C02E6" w:rsidRDefault="00C917C2">
            <w:pPr>
              <w:jc w:val="center"/>
              <w:rPr>
                <w:szCs w:val="21"/>
              </w:rPr>
            </w:pPr>
            <w:r>
              <w:rPr>
                <w:rFonts w:hint="eastAsia"/>
                <w:szCs w:val="21"/>
              </w:rPr>
              <w:t>(6)</w:t>
            </w:r>
          </w:p>
        </w:tc>
        <w:tc>
          <w:tcPr>
            <w:tcW w:w="0" w:type="auto"/>
            <w:gridSpan w:val="3"/>
            <w:tcBorders>
              <w:bottom w:val="nil"/>
            </w:tcBorders>
            <w:vAlign w:val="center"/>
          </w:tcPr>
          <w:p w:rsidR="002C02E6" w:rsidRDefault="00C917C2">
            <w:pPr>
              <w:jc w:val="center"/>
              <w:rPr>
                <w:szCs w:val="21"/>
              </w:rPr>
            </w:pPr>
            <w:r>
              <w:rPr>
                <w:rFonts w:hint="eastAsia"/>
                <w:szCs w:val="21"/>
              </w:rPr>
              <w:t>其他</w:t>
            </w:r>
          </w:p>
          <w:p w:rsidR="002C02E6" w:rsidRDefault="00C917C2">
            <w:pPr>
              <w:jc w:val="center"/>
              <w:rPr>
                <w:szCs w:val="21"/>
              </w:rPr>
            </w:pPr>
            <w:r>
              <w:rPr>
                <w:rFonts w:hint="eastAsia"/>
                <w:szCs w:val="21"/>
              </w:rPr>
              <w:t>费用</w:t>
            </w:r>
          </w:p>
          <w:p w:rsidR="002C02E6" w:rsidRDefault="00C917C2">
            <w:pPr>
              <w:jc w:val="center"/>
              <w:rPr>
                <w:szCs w:val="21"/>
              </w:rPr>
            </w:pPr>
            <w:r>
              <w:rPr>
                <w:rFonts w:hint="eastAsia"/>
                <w:szCs w:val="21"/>
              </w:rPr>
              <w:t>(7)</w:t>
            </w:r>
          </w:p>
        </w:tc>
        <w:tc>
          <w:tcPr>
            <w:tcW w:w="0" w:type="auto"/>
            <w:gridSpan w:val="3"/>
            <w:vAlign w:val="center"/>
          </w:tcPr>
          <w:p w:rsidR="002C02E6" w:rsidRDefault="00C917C2">
            <w:pPr>
              <w:jc w:val="center"/>
              <w:rPr>
                <w:szCs w:val="21"/>
              </w:rPr>
            </w:pPr>
            <w:r>
              <w:rPr>
                <w:rFonts w:hint="eastAsia"/>
                <w:szCs w:val="21"/>
              </w:rPr>
              <w:t>合计</w:t>
            </w:r>
          </w:p>
          <w:p w:rsidR="002C02E6" w:rsidRDefault="00C917C2">
            <w:pPr>
              <w:jc w:val="center"/>
              <w:rPr>
                <w:szCs w:val="21"/>
              </w:rPr>
            </w:pPr>
            <w:r>
              <w:rPr>
                <w:rFonts w:hint="eastAsia"/>
                <w:szCs w:val="21"/>
              </w:rPr>
              <w:t>(8)=</w:t>
            </w:r>
            <w:r>
              <w:rPr>
                <w:rFonts w:hint="eastAsia"/>
                <w:szCs w:val="21"/>
              </w:rPr>
              <w:t>（</w:t>
            </w:r>
            <w:r>
              <w:rPr>
                <w:rFonts w:hint="eastAsia"/>
                <w:szCs w:val="21"/>
              </w:rPr>
              <w:t>1</w:t>
            </w:r>
            <w:r>
              <w:rPr>
                <w:rFonts w:hint="eastAsia"/>
                <w:szCs w:val="21"/>
              </w:rPr>
              <w:t>）</w:t>
            </w:r>
            <w:r>
              <w:rPr>
                <w:rFonts w:hint="eastAsia"/>
                <w:szCs w:val="21"/>
              </w:rPr>
              <w:t>+</w:t>
            </w:r>
            <w:r>
              <w:rPr>
                <w:rFonts w:hint="eastAsia"/>
                <w:szCs w:val="21"/>
              </w:rPr>
              <w:t>（</w:t>
            </w:r>
            <w:r>
              <w:rPr>
                <w:rFonts w:hint="eastAsia"/>
                <w:szCs w:val="21"/>
              </w:rPr>
              <w:t>2</w:t>
            </w:r>
            <w:r>
              <w:rPr>
                <w:rFonts w:hint="eastAsia"/>
                <w:szCs w:val="21"/>
              </w:rPr>
              <w:t>）</w:t>
            </w:r>
            <w:r>
              <w:rPr>
                <w:rFonts w:hint="eastAsia"/>
                <w:szCs w:val="21"/>
              </w:rPr>
              <w:t>+</w:t>
            </w:r>
            <w:r>
              <w:rPr>
                <w:rFonts w:hint="eastAsia"/>
                <w:szCs w:val="21"/>
              </w:rPr>
              <w:t>（</w:t>
            </w:r>
            <w:r>
              <w:rPr>
                <w:rFonts w:hint="eastAsia"/>
                <w:szCs w:val="21"/>
              </w:rPr>
              <w:t>3</w:t>
            </w:r>
            <w:r>
              <w:rPr>
                <w:rFonts w:hint="eastAsia"/>
                <w:szCs w:val="21"/>
              </w:rPr>
              <w:t>）</w:t>
            </w:r>
            <w:r>
              <w:rPr>
                <w:rFonts w:hint="eastAsia"/>
                <w:szCs w:val="21"/>
              </w:rPr>
              <w:t>+</w:t>
            </w:r>
            <w:r>
              <w:rPr>
                <w:rFonts w:hint="eastAsia"/>
                <w:szCs w:val="21"/>
              </w:rPr>
              <w:t>（</w:t>
            </w:r>
            <w:r>
              <w:rPr>
                <w:rFonts w:hint="eastAsia"/>
                <w:szCs w:val="21"/>
              </w:rPr>
              <w:t>4</w:t>
            </w:r>
            <w:r>
              <w:rPr>
                <w:rFonts w:hint="eastAsia"/>
                <w:szCs w:val="21"/>
              </w:rPr>
              <w:t>）</w:t>
            </w:r>
            <w:r>
              <w:rPr>
                <w:rFonts w:hint="eastAsia"/>
                <w:szCs w:val="21"/>
              </w:rPr>
              <w:t>+</w:t>
            </w:r>
            <w:r>
              <w:rPr>
                <w:rFonts w:hint="eastAsia"/>
                <w:szCs w:val="21"/>
              </w:rPr>
              <w:t>（</w:t>
            </w:r>
            <w:r>
              <w:rPr>
                <w:rFonts w:hint="eastAsia"/>
                <w:szCs w:val="21"/>
              </w:rPr>
              <w:t>5</w:t>
            </w:r>
            <w:r>
              <w:rPr>
                <w:rFonts w:hint="eastAsia"/>
                <w:szCs w:val="21"/>
              </w:rPr>
              <w:t>）</w:t>
            </w:r>
            <w:r>
              <w:rPr>
                <w:rFonts w:hint="eastAsia"/>
                <w:szCs w:val="21"/>
              </w:rPr>
              <w:t>+</w:t>
            </w:r>
            <w:r>
              <w:rPr>
                <w:rFonts w:hint="eastAsia"/>
                <w:szCs w:val="21"/>
              </w:rPr>
              <w:t>（</w:t>
            </w:r>
            <w:r>
              <w:rPr>
                <w:rFonts w:hint="eastAsia"/>
                <w:szCs w:val="21"/>
              </w:rPr>
              <w:t>6</w:t>
            </w:r>
            <w:r>
              <w:rPr>
                <w:rFonts w:hint="eastAsia"/>
                <w:szCs w:val="21"/>
              </w:rPr>
              <w:t>）</w:t>
            </w:r>
            <w:r>
              <w:rPr>
                <w:rFonts w:hint="eastAsia"/>
                <w:szCs w:val="21"/>
              </w:rPr>
              <w:t>+</w:t>
            </w:r>
            <w:r>
              <w:rPr>
                <w:rFonts w:hint="eastAsia"/>
                <w:szCs w:val="21"/>
              </w:rPr>
              <w:t>（</w:t>
            </w:r>
            <w:r>
              <w:rPr>
                <w:rFonts w:hint="eastAsia"/>
                <w:szCs w:val="21"/>
              </w:rPr>
              <w:t>7</w:t>
            </w:r>
            <w:r>
              <w:rPr>
                <w:rFonts w:hint="eastAsia"/>
                <w:szCs w:val="21"/>
              </w:rPr>
              <w:t>）</w:t>
            </w:r>
          </w:p>
        </w:tc>
      </w:tr>
      <w:tr w:rsidR="002C02E6">
        <w:trPr>
          <w:cantSplit/>
          <w:trHeight w:hRule="exact" w:val="1311"/>
          <w:jc w:val="center"/>
        </w:trPr>
        <w:tc>
          <w:tcPr>
            <w:tcW w:w="467" w:type="dxa"/>
            <w:vMerge/>
            <w:tcBorders>
              <w:tl2br w:val="single" w:sz="4" w:space="0" w:color="auto"/>
            </w:tcBorders>
            <w:vAlign w:val="center"/>
          </w:tcPr>
          <w:p w:rsidR="002C02E6" w:rsidRDefault="002C02E6">
            <w:pPr>
              <w:jc w:val="center"/>
              <w:rPr>
                <w:szCs w:val="21"/>
              </w:rPr>
            </w:pP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全成本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全成本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widowControl/>
              <w:spacing w:line="20" w:lineRule="atLeast"/>
              <w:ind w:left="113" w:right="113"/>
              <w:jc w:val="left"/>
              <w:rPr>
                <w:sz w:val="15"/>
                <w:szCs w:val="15"/>
              </w:rPr>
            </w:pPr>
            <w:r>
              <w:rPr>
                <w:rFonts w:hint="eastAsia"/>
                <w:sz w:val="15"/>
                <w:szCs w:val="15"/>
              </w:rPr>
              <w:t>全成本</w:t>
            </w:r>
          </w:p>
          <w:p w:rsidR="002C02E6" w:rsidRDefault="002C02E6">
            <w:pPr>
              <w:spacing w:line="20" w:lineRule="atLeast"/>
              <w:ind w:left="113" w:right="113"/>
              <w:rPr>
                <w:sz w:val="15"/>
                <w:szCs w:val="15"/>
              </w:rPr>
            </w:pP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widowControl/>
              <w:spacing w:line="20" w:lineRule="atLeast"/>
              <w:ind w:left="113" w:right="113"/>
              <w:jc w:val="left"/>
              <w:rPr>
                <w:sz w:val="15"/>
                <w:szCs w:val="15"/>
              </w:rPr>
            </w:pPr>
            <w:r>
              <w:rPr>
                <w:rFonts w:hint="eastAsia"/>
                <w:sz w:val="15"/>
                <w:szCs w:val="15"/>
              </w:rPr>
              <w:t>全成本</w:t>
            </w:r>
          </w:p>
          <w:p w:rsidR="002C02E6" w:rsidRDefault="002C02E6">
            <w:pPr>
              <w:spacing w:line="20" w:lineRule="atLeast"/>
              <w:ind w:left="113" w:right="113"/>
              <w:rPr>
                <w:sz w:val="15"/>
                <w:szCs w:val="15"/>
              </w:rPr>
            </w:pP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全成本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全成本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直接成本</w:t>
            </w:r>
          </w:p>
        </w:tc>
        <w:tc>
          <w:tcPr>
            <w:tcW w:w="0" w:type="auto"/>
            <w:textDirection w:val="tbRlV"/>
          </w:tcPr>
          <w:p w:rsidR="002C02E6" w:rsidRDefault="00C917C2">
            <w:pPr>
              <w:spacing w:line="20" w:lineRule="atLeast"/>
              <w:ind w:left="113" w:right="113"/>
              <w:rPr>
                <w:sz w:val="15"/>
                <w:szCs w:val="15"/>
              </w:rPr>
            </w:pPr>
            <w:r>
              <w:rPr>
                <w:rFonts w:hint="eastAsia"/>
                <w:sz w:val="15"/>
                <w:szCs w:val="15"/>
              </w:rPr>
              <w:t>间接成本</w:t>
            </w:r>
          </w:p>
        </w:tc>
        <w:tc>
          <w:tcPr>
            <w:tcW w:w="0" w:type="auto"/>
            <w:textDirection w:val="tbRlV"/>
          </w:tcPr>
          <w:p w:rsidR="002C02E6" w:rsidRDefault="00C917C2">
            <w:pPr>
              <w:widowControl/>
              <w:spacing w:line="20" w:lineRule="atLeast"/>
              <w:ind w:left="113" w:right="113"/>
              <w:jc w:val="left"/>
              <w:rPr>
                <w:sz w:val="15"/>
                <w:szCs w:val="15"/>
              </w:rPr>
            </w:pPr>
            <w:r>
              <w:rPr>
                <w:rFonts w:hint="eastAsia"/>
                <w:sz w:val="15"/>
                <w:szCs w:val="15"/>
              </w:rPr>
              <w:t>全成本</w:t>
            </w:r>
          </w:p>
          <w:p w:rsidR="002C02E6" w:rsidRDefault="002C02E6">
            <w:pPr>
              <w:spacing w:line="20" w:lineRule="atLeast"/>
              <w:ind w:left="113" w:right="113"/>
              <w:rPr>
                <w:sz w:val="15"/>
                <w:szCs w:val="15"/>
              </w:rPr>
            </w:pPr>
          </w:p>
        </w:tc>
        <w:tc>
          <w:tcPr>
            <w:tcW w:w="0" w:type="auto"/>
            <w:textDirection w:val="tbRlV"/>
          </w:tcPr>
          <w:p w:rsidR="002C02E6" w:rsidRDefault="00C917C2">
            <w:pPr>
              <w:spacing w:line="20" w:lineRule="atLeast"/>
              <w:ind w:left="113" w:right="113"/>
              <w:rPr>
                <w:sz w:val="13"/>
                <w:szCs w:val="13"/>
              </w:rPr>
            </w:pPr>
            <w:r>
              <w:rPr>
                <w:rFonts w:hint="eastAsia"/>
                <w:sz w:val="13"/>
                <w:szCs w:val="13"/>
              </w:rPr>
              <w:t>直接成本</w:t>
            </w:r>
          </w:p>
        </w:tc>
        <w:tc>
          <w:tcPr>
            <w:tcW w:w="0" w:type="auto"/>
            <w:textDirection w:val="tbRlV"/>
          </w:tcPr>
          <w:p w:rsidR="002C02E6" w:rsidRDefault="00C917C2">
            <w:pPr>
              <w:spacing w:line="20" w:lineRule="atLeast"/>
              <w:ind w:left="113" w:right="113"/>
              <w:rPr>
                <w:sz w:val="13"/>
                <w:szCs w:val="13"/>
              </w:rPr>
            </w:pPr>
            <w:r>
              <w:rPr>
                <w:rFonts w:hint="eastAsia"/>
                <w:sz w:val="13"/>
                <w:szCs w:val="13"/>
              </w:rPr>
              <w:t>间接成本</w:t>
            </w:r>
          </w:p>
        </w:tc>
        <w:tc>
          <w:tcPr>
            <w:tcW w:w="0" w:type="auto"/>
            <w:textDirection w:val="tbRlV"/>
          </w:tcPr>
          <w:p w:rsidR="002C02E6" w:rsidRDefault="00C917C2">
            <w:pPr>
              <w:spacing w:line="20" w:lineRule="atLeast"/>
              <w:ind w:left="113" w:right="113"/>
              <w:rPr>
                <w:sz w:val="13"/>
                <w:szCs w:val="13"/>
              </w:rPr>
            </w:pPr>
            <w:r>
              <w:rPr>
                <w:rFonts w:hint="eastAsia"/>
                <w:sz w:val="13"/>
                <w:szCs w:val="13"/>
              </w:rPr>
              <w:t>全成本</w:t>
            </w:r>
          </w:p>
        </w:tc>
      </w:tr>
      <w:tr w:rsidR="002C02E6">
        <w:trPr>
          <w:cantSplit/>
          <w:trHeight w:hRule="exact" w:val="2265"/>
          <w:jc w:val="center"/>
        </w:trPr>
        <w:tc>
          <w:tcPr>
            <w:tcW w:w="467" w:type="dxa"/>
            <w:vAlign w:val="center"/>
          </w:tcPr>
          <w:p w:rsidR="002C02E6" w:rsidRDefault="00C917C2">
            <w:pPr>
              <w:jc w:val="center"/>
              <w:rPr>
                <w:szCs w:val="21"/>
              </w:rPr>
            </w:pPr>
            <w:r>
              <w:rPr>
                <w:rFonts w:hint="eastAsia"/>
                <w:szCs w:val="21"/>
              </w:rPr>
              <w:t>临床服务类科室</w:t>
            </w:r>
            <w:r>
              <w:rPr>
                <w:rFonts w:hint="eastAsia"/>
                <w:szCs w:val="21"/>
              </w:rPr>
              <w:t>1</w:t>
            </w:r>
          </w:p>
          <w:p w:rsidR="002C02E6" w:rsidRDefault="00C917C2">
            <w:pPr>
              <w:jc w:val="center"/>
              <w:rPr>
                <w:szCs w:val="21"/>
              </w:rPr>
            </w:pPr>
            <w:r>
              <w:rPr>
                <w:rFonts w:hint="eastAsia"/>
                <w:szCs w:val="21"/>
              </w:rPr>
              <w:t>临床服务类科室</w:t>
            </w:r>
            <w:r>
              <w:rPr>
                <w:rFonts w:hint="eastAsia"/>
                <w:szCs w:val="21"/>
              </w:rPr>
              <w:t>2</w:t>
            </w:r>
          </w:p>
          <w:p w:rsidR="002C02E6" w:rsidRDefault="00C917C2">
            <w:pPr>
              <w:rPr>
                <w:szCs w:val="21"/>
              </w:rPr>
            </w:pPr>
            <w:r>
              <w:rPr>
                <w:rFonts w:hint="eastAsia"/>
                <w:szCs w:val="21"/>
              </w:rPr>
              <w:t xml:space="preserve">     </w:t>
            </w:r>
            <w:r>
              <w:rPr>
                <w:szCs w:val="21"/>
              </w:rPr>
              <w:t>…</w:t>
            </w:r>
          </w:p>
          <w:p w:rsidR="002C02E6" w:rsidRDefault="002C02E6">
            <w:pPr>
              <w:jc w:val="cente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r>
      <w:tr w:rsidR="002C02E6">
        <w:trPr>
          <w:cantSplit/>
          <w:trHeight w:hRule="exact" w:val="2409"/>
          <w:jc w:val="center"/>
        </w:trPr>
        <w:tc>
          <w:tcPr>
            <w:tcW w:w="467" w:type="dxa"/>
            <w:vAlign w:val="center"/>
          </w:tcPr>
          <w:p w:rsidR="002C02E6" w:rsidRDefault="00C917C2">
            <w:pPr>
              <w:jc w:val="center"/>
              <w:rPr>
                <w:szCs w:val="21"/>
              </w:rPr>
            </w:pPr>
            <w:r>
              <w:rPr>
                <w:rFonts w:hint="eastAsia"/>
                <w:szCs w:val="21"/>
              </w:rPr>
              <w:t>科室全成本合计</w:t>
            </w: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c>
          <w:tcPr>
            <w:tcW w:w="0" w:type="auto"/>
          </w:tcPr>
          <w:p w:rsidR="002C02E6" w:rsidRDefault="002C02E6">
            <w:pPr>
              <w:rPr>
                <w:szCs w:val="21"/>
              </w:rPr>
            </w:pPr>
          </w:p>
        </w:tc>
      </w:tr>
    </w:tbl>
    <w:p w:rsidR="002C02E6" w:rsidRDefault="00C917C2">
      <w:pPr>
        <w:ind w:firstLineChars="202" w:firstLine="424"/>
        <w:rPr>
          <w:rFonts w:ascii="仿宋_GB2312" w:eastAsia="仿宋_GB2312"/>
          <w:sz w:val="28"/>
          <w:szCs w:val="28"/>
        </w:rPr>
      </w:pPr>
      <w:r>
        <w:rPr>
          <w:rFonts w:hint="eastAsia"/>
          <w:szCs w:val="21"/>
        </w:rPr>
        <w:t>说明：</w:t>
      </w:r>
      <w:r>
        <w:rPr>
          <w:rFonts w:hint="eastAsia"/>
          <w:szCs w:val="21"/>
        </w:rPr>
        <w:t>1.</w:t>
      </w:r>
      <w:r>
        <w:rPr>
          <w:rFonts w:hint="eastAsia"/>
          <w:szCs w:val="21"/>
        </w:rPr>
        <w:t>本表反映医院根据《医院财务制度》规定的原则和程序，将管理费用、医疗辅助类科室直接成本、医疗技术类科室直接成本逐步分摊转移到临床服务类科室后，各临床服务类科室的全成本情况。即：临床服务类科室全成本包括科室直接成本和分摊转移的间接成本。</w:t>
      </w:r>
    </w:p>
    <w:p w:rsidR="002C02E6" w:rsidRDefault="00C917C2">
      <w:pPr>
        <w:ind w:firstLineChars="200" w:firstLine="420"/>
        <w:rPr>
          <w:szCs w:val="21"/>
        </w:rPr>
      </w:pPr>
      <w:r>
        <w:rPr>
          <w:rFonts w:hint="eastAsia"/>
          <w:szCs w:val="21"/>
        </w:rPr>
        <w:t>2.</w:t>
      </w:r>
      <w:r>
        <w:rPr>
          <w:rFonts w:hint="eastAsia"/>
          <w:szCs w:val="21"/>
        </w:rPr>
        <w:t>表中的“直接成本”反映间接成本分摊前各临床服务类科室发生的直接成本金额。</w:t>
      </w:r>
    </w:p>
    <w:p w:rsidR="002C02E6" w:rsidRDefault="00C917C2">
      <w:pPr>
        <w:ind w:firstLineChars="202" w:firstLine="424"/>
        <w:rPr>
          <w:szCs w:val="21"/>
        </w:rPr>
      </w:pPr>
      <w:r>
        <w:rPr>
          <w:rFonts w:hint="eastAsia"/>
          <w:szCs w:val="21"/>
        </w:rPr>
        <w:t>3.</w:t>
      </w:r>
      <w:r>
        <w:rPr>
          <w:rFonts w:hint="eastAsia"/>
          <w:szCs w:val="21"/>
        </w:rPr>
        <w:t>表中的“间接成本”反映将管理费用、医疗辅助类科室直接成本、医疗技术类科室直接成本按规定的原则和程序分摊转移至各临床服务类科室的间接成本金额。</w:t>
      </w:r>
    </w:p>
    <w:p w:rsidR="002C02E6" w:rsidRDefault="00C917C2">
      <w:pPr>
        <w:spacing w:line="600" w:lineRule="exact"/>
        <w:ind w:firstLineChars="200" w:firstLine="640"/>
        <w:rPr>
          <w:rFonts w:ascii="仿宋_GB2312" w:eastAsia="仿宋_GB2312"/>
          <w:sz w:val="32"/>
          <w:szCs w:val="32"/>
        </w:rPr>
      </w:pPr>
      <w:bookmarkStart w:id="40" w:name="_Toc510947532"/>
      <w:r>
        <w:rPr>
          <w:rFonts w:ascii="仿宋_GB2312" w:eastAsia="仿宋_GB2312" w:hint="eastAsia"/>
          <w:sz w:val="32"/>
          <w:szCs w:val="32"/>
        </w:rPr>
        <w:t>③第三张报表-“医院临床服务类科室全成本表”</w:t>
      </w:r>
      <w:bookmarkEnd w:id="4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在四类三级分摊完成后，可以产生《医院财务制度》要求的第三张报表“医院临床服务类科室全成本构成分析表”，如图所</w:t>
      </w:r>
      <w:r>
        <w:rPr>
          <w:rFonts w:ascii="仿宋_GB2312" w:eastAsia="仿宋_GB2312" w:hint="eastAsia"/>
          <w:sz w:val="32"/>
          <w:szCs w:val="32"/>
        </w:rPr>
        <w:lastRenderedPageBreak/>
        <w:t>示：</w:t>
      </w:r>
    </w:p>
    <w:p w:rsidR="002C02E6" w:rsidRDefault="00C917C2">
      <w:pPr>
        <w:jc w:val="center"/>
        <w:rPr>
          <w:rFonts w:ascii="宋体" w:hAnsi="宋体"/>
          <w:b/>
          <w:sz w:val="24"/>
        </w:rPr>
      </w:pPr>
      <w:r>
        <w:rPr>
          <w:rFonts w:hint="eastAsia"/>
          <w:b/>
          <w:sz w:val="24"/>
        </w:rPr>
        <w:t>医院临床服务类科室全成本构成分析表</w:t>
      </w:r>
    </w:p>
    <w:p w:rsidR="002C02E6" w:rsidRDefault="00C917C2">
      <w:pPr>
        <w:jc w:val="center"/>
        <w:rPr>
          <w:sz w:val="24"/>
        </w:rPr>
      </w:pPr>
      <w:r>
        <w:rPr>
          <w:rFonts w:hint="eastAsia"/>
          <w:sz w:val="24"/>
        </w:rPr>
        <w:t xml:space="preserve">                                                          </w:t>
      </w:r>
      <w:r>
        <w:rPr>
          <w:rFonts w:hint="eastAsia"/>
          <w:sz w:val="24"/>
        </w:rPr>
        <w:t>成本</w:t>
      </w:r>
      <w:proofErr w:type="gramStart"/>
      <w:r>
        <w:rPr>
          <w:rFonts w:hint="eastAsia"/>
          <w:sz w:val="24"/>
        </w:rPr>
        <w:t>医</w:t>
      </w:r>
      <w:proofErr w:type="gramEnd"/>
      <w:r>
        <w:rPr>
          <w:rFonts w:hint="eastAsia"/>
          <w:sz w:val="24"/>
        </w:rPr>
        <w:t>03</w:t>
      </w:r>
      <w:r>
        <w:rPr>
          <w:rFonts w:hint="eastAsia"/>
          <w:sz w:val="24"/>
        </w:rPr>
        <w:t>表</w:t>
      </w:r>
    </w:p>
    <w:p w:rsidR="002C02E6" w:rsidRDefault="00C917C2">
      <w:pPr>
        <w:rPr>
          <w:szCs w:val="21"/>
        </w:rPr>
      </w:pPr>
      <w:r>
        <w:rPr>
          <w:rFonts w:hint="eastAsia"/>
          <w:szCs w:val="21"/>
        </w:rPr>
        <w:t>编制单位：</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rPr>
        <w:t>单位：元</w:t>
      </w:r>
    </w:p>
    <w:p w:rsidR="002C02E6" w:rsidRDefault="002C02E6">
      <w:pPr>
        <w:rPr>
          <w:szCs w:val="21"/>
        </w:rPr>
      </w:pPr>
    </w:p>
    <w:tbl>
      <w:tblPr>
        <w:tblW w:w="9214" w:type="dxa"/>
        <w:tblInd w:w="250" w:type="dxa"/>
        <w:tblLayout w:type="fixed"/>
        <w:tblLook w:val="0000" w:firstRow="0" w:lastRow="0" w:firstColumn="0" w:lastColumn="0" w:noHBand="0" w:noVBand="0"/>
      </w:tblPr>
      <w:tblGrid>
        <w:gridCol w:w="1985"/>
        <w:gridCol w:w="776"/>
        <w:gridCol w:w="1306"/>
        <w:gridCol w:w="1344"/>
        <w:gridCol w:w="1344"/>
        <w:gridCol w:w="1218"/>
        <w:gridCol w:w="1241"/>
      </w:tblGrid>
      <w:tr w:rsidR="002C02E6">
        <w:trPr>
          <w:cantSplit/>
        </w:trPr>
        <w:tc>
          <w:tcPr>
            <w:tcW w:w="1985" w:type="dxa"/>
            <w:tcBorders>
              <w:top w:val="single" w:sz="4" w:space="0" w:color="auto"/>
              <w:right w:val="single" w:sz="4" w:space="0" w:color="auto"/>
            </w:tcBorders>
            <w:vAlign w:val="center"/>
          </w:tcPr>
          <w:p w:rsidR="002C02E6" w:rsidRDefault="00C917C2">
            <w:pPr>
              <w:jc w:val="right"/>
              <w:rPr>
                <w:szCs w:val="21"/>
              </w:rPr>
            </w:pPr>
            <w:r>
              <w:rPr>
                <w:noProof/>
                <w:szCs w:val="21"/>
              </w:rPr>
              <mc:AlternateContent>
                <mc:Choice Requires="wps">
                  <w:drawing>
                    <wp:anchor distT="0" distB="0" distL="114300" distR="114300" simplePos="0" relativeHeight="251646464" behindDoc="0" locked="0" layoutInCell="0" allowOverlap="1">
                      <wp:simplePos x="0" y="0"/>
                      <wp:positionH relativeFrom="column">
                        <wp:posOffset>163195</wp:posOffset>
                      </wp:positionH>
                      <wp:positionV relativeFrom="paragraph">
                        <wp:posOffset>18415</wp:posOffset>
                      </wp:positionV>
                      <wp:extent cx="1143000" cy="347980"/>
                      <wp:effectExtent l="0" t="0" r="0" b="13970"/>
                      <wp:wrapNone/>
                      <wp:docPr id="57"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0" cy="347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5476CC46" id=" 56"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45pt" to="102.85pt,28.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" o:allowincell="f">
                      <o:lock v:ext="edit" shapetype="f"/>
                    </v:line>
                  </w:pict>
                </mc:Fallback>
              </mc:AlternateContent>
            </w:r>
            <w:r>
              <w:rPr>
                <w:rFonts w:hint="eastAsia"/>
                <w:szCs w:val="21"/>
              </w:rPr>
              <w:t>科室名称</w:t>
            </w:r>
          </w:p>
        </w:tc>
        <w:tc>
          <w:tcPr>
            <w:tcW w:w="2082" w:type="dxa"/>
            <w:gridSpan w:val="2"/>
            <w:tcBorders>
              <w:top w:val="single" w:sz="4" w:space="0" w:color="auto"/>
              <w:left w:val="single" w:sz="4" w:space="0" w:color="auto"/>
              <w:bottom w:val="single" w:sz="4" w:space="0" w:color="auto"/>
            </w:tcBorders>
            <w:vAlign w:val="center"/>
          </w:tcPr>
          <w:p w:rsidR="002C02E6" w:rsidRDefault="00C917C2">
            <w:pPr>
              <w:jc w:val="center"/>
              <w:rPr>
                <w:szCs w:val="21"/>
              </w:rPr>
            </w:pPr>
            <w:r>
              <w:rPr>
                <w:rFonts w:hint="eastAsia"/>
                <w:szCs w:val="21"/>
              </w:rPr>
              <w:t>内科</w:t>
            </w:r>
          </w:p>
        </w:tc>
        <w:tc>
          <w:tcPr>
            <w:tcW w:w="2688" w:type="dxa"/>
            <w:gridSpan w:val="2"/>
            <w:tcBorders>
              <w:top w:val="single" w:sz="4" w:space="0" w:color="auto"/>
              <w:bottom w:val="single" w:sz="4" w:space="0" w:color="auto"/>
            </w:tcBorders>
            <w:vAlign w:val="center"/>
          </w:tcPr>
          <w:p w:rsidR="002C02E6" w:rsidRDefault="00C917C2">
            <w:pPr>
              <w:jc w:val="center"/>
              <w:rPr>
                <w:szCs w:val="21"/>
              </w:rPr>
            </w:pPr>
            <w:r>
              <w:rPr>
                <w:szCs w:val="21"/>
              </w:rPr>
              <w:t>…</w:t>
            </w:r>
          </w:p>
        </w:tc>
        <w:tc>
          <w:tcPr>
            <w:tcW w:w="2459" w:type="dxa"/>
            <w:gridSpan w:val="2"/>
            <w:tcBorders>
              <w:top w:val="single" w:sz="4" w:space="0" w:color="auto"/>
              <w:bottom w:val="single" w:sz="4" w:space="0" w:color="auto"/>
            </w:tcBorders>
            <w:vAlign w:val="center"/>
          </w:tcPr>
          <w:p w:rsidR="002C02E6" w:rsidRDefault="00C917C2">
            <w:pPr>
              <w:jc w:val="center"/>
              <w:rPr>
                <w:szCs w:val="21"/>
              </w:rPr>
            </w:pPr>
            <w:r>
              <w:rPr>
                <w:rFonts w:hint="eastAsia"/>
                <w:szCs w:val="21"/>
              </w:rPr>
              <w:t>各临床服务类科室合计</w:t>
            </w:r>
          </w:p>
        </w:tc>
      </w:tr>
      <w:tr w:rsidR="002C02E6">
        <w:trPr>
          <w:cantSplit/>
        </w:trPr>
        <w:tc>
          <w:tcPr>
            <w:tcW w:w="1985" w:type="dxa"/>
            <w:tcBorders>
              <w:right w:val="single" w:sz="4" w:space="0" w:color="auto"/>
            </w:tcBorders>
            <w:vAlign w:val="center"/>
          </w:tcPr>
          <w:p w:rsidR="002C02E6" w:rsidRDefault="00C917C2">
            <w:pPr>
              <w:ind w:firstLineChars="100" w:firstLine="210"/>
              <w:rPr>
                <w:szCs w:val="21"/>
              </w:rPr>
            </w:pPr>
            <w:r>
              <w:rPr>
                <w:rFonts w:hint="eastAsia"/>
                <w:szCs w:val="21"/>
              </w:rPr>
              <w:t>成本项目</w:t>
            </w:r>
          </w:p>
        </w:tc>
        <w:tc>
          <w:tcPr>
            <w:tcW w:w="776" w:type="dxa"/>
            <w:tcBorders>
              <w:left w:val="single" w:sz="4" w:space="0" w:color="auto"/>
              <w:bottom w:val="single" w:sz="4" w:space="0" w:color="auto"/>
            </w:tcBorders>
            <w:vAlign w:val="center"/>
          </w:tcPr>
          <w:p w:rsidR="002C02E6" w:rsidRDefault="00C917C2">
            <w:pPr>
              <w:jc w:val="center"/>
              <w:rPr>
                <w:szCs w:val="21"/>
              </w:rPr>
            </w:pPr>
            <w:r>
              <w:rPr>
                <w:rFonts w:hint="eastAsia"/>
                <w:szCs w:val="21"/>
              </w:rPr>
              <w:t>金额</w:t>
            </w:r>
          </w:p>
        </w:tc>
        <w:tc>
          <w:tcPr>
            <w:tcW w:w="1306" w:type="dxa"/>
            <w:tcBorders>
              <w:bottom w:val="single" w:sz="4" w:space="0" w:color="auto"/>
            </w:tcBorders>
            <w:vAlign w:val="center"/>
          </w:tcPr>
          <w:p w:rsidR="002C02E6" w:rsidRDefault="00C917C2">
            <w:pPr>
              <w:jc w:val="center"/>
              <w:rPr>
                <w:szCs w:val="21"/>
              </w:rPr>
            </w:pPr>
            <w:r>
              <w:rPr>
                <w:rFonts w:hint="eastAsia"/>
                <w:szCs w:val="21"/>
              </w:rPr>
              <w:t>%</w:t>
            </w:r>
          </w:p>
        </w:tc>
        <w:tc>
          <w:tcPr>
            <w:tcW w:w="1344" w:type="dxa"/>
            <w:tcBorders>
              <w:top w:val="single" w:sz="4" w:space="0" w:color="auto"/>
              <w:bottom w:val="single" w:sz="4" w:space="0" w:color="auto"/>
            </w:tcBorders>
            <w:vAlign w:val="center"/>
          </w:tcPr>
          <w:p w:rsidR="002C02E6" w:rsidRDefault="002C02E6">
            <w:pPr>
              <w:jc w:val="center"/>
              <w:rPr>
                <w:szCs w:val="21"/>
              </w:rPr>
            </w:pPr>
          </w:p>
        </w:tc>
        <w:tc>
          <w:tcPr>
            <w:tcW w:w="1344" w:type="dxa"/>
            <w:tcBorders>
              <w:top w:val="single" w:sz="4" w:space="0" w:color="auto"/>
              <w:bottom w:val="single" w:sz="4" w:space="0" w:color="auto"/>
            </w:tcBorders>
            <w:vAlign w:val="center"/>
          </w:tcPr>
          <w:p w:rsidR="002C02E6" w:rsidRDefault="002C02E6">
            <w:pPr>
              <w:jc w:val="center"/>
              <w:rPr>
                <w:szCs w:val="21"/>
              </w:rPr>
            </w:pPr>
          </w:p>
        </w:tc>
        <w:tc>
          <w:tcPr>
            <w:tcW w:w="1218" w:type="dxa"/>
            <w:tcBorders>
              <w:bottom w:val="single" w:sz="4" w:space="0" w:color="auto"/>
            </w:tcBorders>
            <w:vAlign w:val="center"/>
          </w:tcPr>
          <w:p w:rsidR="002C02E6" w:rsidRDefault="00C917C2">
            <w:pPr>
              <w:jc w:val="center"/>
              <w:rPr>
                <w:szCs w:val="21"/>
              </w:rPr>
            </w:pPr>
            <w:r>
              <w:rPr>
                <w:rFonts w:hint="eastAsia"/>
                <w:szCs w:val="21"/>
              </w:rPr>
              <w:t>金额</w:t>
            </w:r>
          </w:p>
        </w:tc>
        <w:tc>
          <w:tcPr>
            <w:tcW w:w="1241" w:type="dxa"/>
            <w:tcBorders>
              <w:bottom w:val="single" w:sz="4" w:space="0" w:color="auto"/>
            </w:tcBorders>
            <w:vAlign w:val="center"/>
          </w:tcPr>
          <w:p w:rsidR="002C02E6" w:rsidRDefault="00C917C2">
            <w:pPr>
              <w:jc w:val="center"/>
              <w:rPr>
                <w:szCs w:val="21"/>
              </w:rPr>
            </w:pPr>
            <w:r>
              <w:rPr>
                <w:rFonts w:hint="eastAsia"/>
                <w:szCs w:val="21"/>
              </w:rPr>
              <w:t>%</w:t>
            </w: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r>
              <w:rPr>
                <w:rFonts w:hint="eastAsia"/>
                <w:szCs w:val="21"/>
              </w:rPr>
              <w:t>人员经费</w:t>
            </w:r>
          </w:p>
          <w:p w:rsidR="002C02E6" w:rsidRDefault="00C917C2">
            <w:pPr>
              <w:jc w:val="center"/>
              <w:rPr>
                <w:szCs w:val="21"/>
              </w:rPr>
            </w:pPr>
            <w:r>
              <w:rPr>
                <w:rFonts w:hint="eastAsia"/>
                <w:szCs w:val="21"/>
              </w:rPr>
              <w:t>卫生材料费</w:t>
            </w:r>
          </w:p>
          <w:p w:rsidR="002C02E6" w:rsidRDefault="00C917C2">
            <w:pPr>
              <w:jc w:val="center"/>
              <w:rPr>
                <w:szCs w:val="21"/>
              </w:rPr>
            </w:pPr>
            <w:r>
              <w:rPr>
                <w:rFonts w:hint="eastAsia"/>
                <w:szCs w:val="21"/>
              </w:rPr>
              <w:t>药品费</w:t>
            </w:r>
          </w:p>
          <w:p w:rsidR="002C02E6" w:rsidRDefault="00C917C2">
            <w:pPr>
              <w:jc w:val="center"/>
              <w:rPr>
                <w:szCs w:val="21"/>
              </w:rPr>
            </w:pPr>
            <w:r>
              <w:rPr>
                <w:rFonts w:hint="eastAsia"/>
                <w:szCs w:val="21"/>
              </w:rPr>
              <w:t>固定资产折旧</w:t>
            </w:r>
          </w:p>
          <w:p w:rsidR="002C02E6" w:rsidRDefault="00C917C2">
            <w:pPr>
              <w:jc w:val="center"/>
              <w:rPr>
                <w:szCs w:val="21"/>
              </w:rPr>
            </w:pPr>
            <w:r>
              <w:rPr>
                <w:rFonts w:hint="eastAsia"/>
                <w:szCs w:val="21"/>
              </w:rPr>
              <w:t>无形资产摊销</w:t>
            </w:r>
          </w:p>
          <w:p w:rsidR="002C02E6" w:rsidRDefault="00C917C2">
            <w:pPr>
              <w:jc w:val="center"/>
              <w:rPr>
                <w:szCs w:val="21"/>
              </w:rPr>
            </w:pPr>
            <w:r>
              <w:rPr>
                <w:rFonts w:hint="eastAsia"/>
                <w:szCs w:val="21"/>
              </w:rPr>
              <w:t>提取医疗风险基金</w:t>
            </w:r>
          </w:p>
          <w:p w:rsidR="002C02E6" w:rsidRDefault="00C917C2">
            <w:pPr>
              <w:jc w:val="center"/>
              <w:rPr>
                <w:szCs w:val="21"/>
              </w:rPr>
            </w:pPr>
            <w:r>
              <w:rPr>
                <w:rFonts w:hint="eastAsia"/>
                <w:szCs w:val="21"/>
              </w:rPr>
              <w:t>其他费用</w:t>
            </w:r>
          </w:p>
          <w:p w:rsidR="002C02E6" w:rsidRDefault="002C02E6">
            <w:pPr>
              <w:jc w:val="center"/>
              <w:rPr>
                <w:szCs w:val="21"/>
              </w:rPr>
            </w:pPr>
          </w:p>
        </w:tc>
        <w:tc>
          <w:tcPr>
            <w:tcW w:w="776" w:type="dxa"/>
            <w:tcBorders>
              <w:left w:val="single" w:sz="4" w:space="0" w:color="auto"/>
            </w:tcBorders>
          </w:tcPr>
          <w:p w:rsidR="002C02E6" w:rsidRDefault="002C02E6">
            <w:pPr>
              <w:jc w:val="center"/>
              <w:rPr>
                <w:szCs w:val="21"/>
              </w:rPr>
            </w:pPr>
          </w:p>
        </w:tc>
        <w:tc>
          <w:tcPr>
            <w:tcW w:w="1306" w:type="dxa"/>
          </w:tcPr>
          <w:p w:rsidR="002C02E6" w:rsidRDefault="00C917C2">
            <w:pPr>
              <w:jc w:val="center"/>
              <w:rPr>
                <w:szCs w:val="21"/>
              </w:rPr>
            </w:pPr>
            <w:r>
              <w:rPr>
                <w:rFonts w:hint="eastAsia"/>
                <w:szCs w:val="21"/>
              </w:rPr>
              <w:t>（</w:t>
            </w:r>
            <w:r>
              <w:rPr>
                <w:rFonts w:hint="eastAsia"/>
                <w:szCs w:val="21"/>
              </w:rPr>
              <w:t xml:space="preserve">## </w:t>
            </w:r>
            <w:r>
              <w:rPr>
                <w:rFonts w:hint="eastAsia"/>
                <w:szCs w:val="21"/>
              </w:rPr>
              <w:t>）</w:t>
            </w:r>
          </w:p>
        </w:tc>
        <w:tc>
          <w:tcPr>
            <w:tcW w:w="1344" w:type="dxa"/>
          </w:tcPr>
          <w:p w:rsidR="002C02E6" w:rsidRDefault="002C02E6">
            <w:pPr>
              <w:jc w:val="center"/>
              <w:rPr>
                <w:szCs w:val="21"/>
              </w:rPr>
            </w:pPr>
          </w:p>
        </w:tc>
        <w:tc>
          <w:tcPr>
            <w:tcW w:w="1344" w:type="dxa"/>
          </w:tcPr>
          <w:p w:rsidR="002C02E6" w:rsidRDefault="002C02E6">
            <w:pPr>
              <w:jc w:val="center"/>
              <w:rPr>
                <w:szCs w:val="21"/>
              </w:rPr>
            </w:pPr>
          </w:p>
        </w:tc>
        <w:tc>
          <w:tcPr>
            <w:tcW w:w="1218" w:type="dxa"/>
          </w:tcPr>
          <w:p w:rsidR="002C02E6" w:rsidRDefault="00C917C2">
            <w:pPr>
              <w:jc w:val="center"/>
              <w:rPr>
                <w:szCs w:val="21"/>
              </w:rPr>
            </w:pPr>
            <w:r>
              <w:rPr>
                <w:rFonts w:hint="eastAsia"/>
                <w:szCs w:val="21"/>
              </w:rPr>
              <w:t>(**)</w:t>
            </w:r>
          </w:p>
        </w:tc>
        <w:tc>
          <w:tcPr>
            <w:tcW w:w="1241" w:type="dxa"/>
          </w:tcPr>
          <w:p w:rsidR="002C02E6" w:rsidRDefault="002C02E6">
            <w:pPr>
              <w:jc w:val="center"/>
              <w:rPr>
                <w:szCs w:val="21"/>
              </w:rPr>
            </w:pP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r>
              <w:rPr>
                <w:rFonts w:hint="eastAsia"/>
                <w:szCs w:val="21"/>
              </w:rPr>
              <w:t>科室全成本合计</w:t>
            </w:r>
          </w:p>
        </w:tc>
        <w:tc>
          <w:tcPr>
            <w:tcW w:w="776" w:type="dxa"/>
            <w:tcBorders>
              <w:top w:val="single" w:sz="4" w:space="0" w:color="auto"/>
              <w:left w:val="single" w:sz="4" w:space="0" w:color="auto"/>
              <w:bottom w:val="single" w:sz="4" w:space="0" w:color="auto"/>
            </w:tcBorders>
          </w:tcPr>
          <w:p w:rsidR="002C02E6" w:rsidRDefault="002C02E6">
            <w:pPr>
              <w:jc w:val="center"/>
              <w:rPr>
                <w:szCs w:val="21"/>
              </w:rPr>
            </w:pPr>
          </w:p>
        </w:tc>
        <w:tc>
          <w:tcPr>
            <w:tcW w:w="1306" w:type="dxa"/>
            <w:tcBorders>
              <w:top w:val="single" w:sz="4" w:space="0" w:color="auto"/>
              <w:bottom w:val="single" w:sz="4" w:space="0" w:color="auto"/>
            </w:tcBorders>
          </w:tcPr>
          <w:p w:rsidR="002C02E6" w:rsidRDefault="00C917C2">
            <w:pPr>
              <w:jc w:val="center"/>
              <w:rPr>
                <w:szCs w:val="21"/>
              </w:rPr>
            </w:pPr>
            <w:r>
              <w:rPr>
                <w:rFonts w:hint="eastAsia"/>
                <w:szCs w:val="21"/>
              </w:rPr>
              <w:t>（</w:t>
            </w:r>
            <w:r>
              <w:rPr>
                <w:rFonts w:hint="eastAsia"/>
                <w:szCs w:val="21"/>
              </w:rPr>
              <w:t>100%</w:t>
            </w:r>
            <w:r>
              <w:rPr>
                <w:rFonts w:hint="eastAsia"/>
                <w:szCs w:val="21"/>
              </w:rPr>
              <w:t>）</w:t>
            </w:r>
          </w:p>
        </w:tc>
        <w:tc>
          <w:tcPr>
            <w:tcW w:w="1344" w:type="dxa"/>
            <w:tcBorders>
              <w:top w:val="single" w:sz="4" w:space="0" w:color="auto"/>
              <w:bottom w:val="single" w:sz="4" w:space="0" w:color="auto"/>
            </w:tcBorders>
          </w:tcPr>
          <w:p w:rsidR="002C02E6" w:rsidRDefault="002C02E6">
            <w:pPr>
              <w:jc w:val="center"/>
              <w:rPr>
                <w:szCs w:val="21"/>
              </w:rPr>
            </w:pPr>
          </w:p>
        </w:tc>
        <w:tc>
          <w:tcPr>
            <w:tcW w:w="1344" w:type="dxa"/>
            <w:tcBorders>
              <w:top w:val="single" w:sz="4" w:space="0" w:color="auto"/>
              <w:bottom w:val="single" w:sz="4" w:space="0" w:color="auto"/>
            </w:tcBorders>
          </w:tcPr>
          <w:p w:rsidR="002C02E6" w:rsidRDefault="002C02E6">
            <w:pPr>
              <w:jc w:val="center"/>
              <w:rPr>
                <w:szCs w:val="21"/>
              </w:rPr>
            </w:pPr>
          </w:p>
        </w:tc>
        <w:tc>
          <w:tcPr>
            <w:tcW w:w="1218" w:type="dxa"/>
            <w:tcBorders>
              <w:top w:val="single" w:sz="4" w:space="0" w:color="auto"/>
              <w:bottom w:val="single" w:sz="4" w:space="0" w:color="auto"/>
            </w:tcBorders>
          </w:tcPr>
          <w:p w:rsidR="002C02E6" w:rsidRDefault="002C02E6">
            <w:pPr>
              <w:jc w:val="center"/>
              <w:rPr>
                <w:szCs w:val="21"/>
              </w:rPr>
            </w:pPr>
          </w:p>
        </w:tc>
        <w:tc>
          <w:tcPr>
            <w:tcW w:w="1241" w:type="dxa"/>
            <w:tcBorders>
              <w:top w:val="single" w:sz="4" w:space="0" w:color="auto"/>
              <w:bottom w:val="single" w:sz="4" w:space="0" w:color="auto"/>
            </w:tcBorders>
          </w:tcPr>
          <w:p w:rsidR="002C02E6" w:rsidRDefault="00C917C2">
            <w:pPr>
              <w:jc w:val="center"/>
              <w:rPr>
                <w:szCs w:val="21"/>
              </w:rPr>
            </w:pPr>
            <w:r>
              <w:rPr>
                <w:rFonts w:hint="eastAsia"/>
                <w:szCs w:val="21"/>
              </w:rPr>
              <w:t xml:space="preserve"> </w:t>
            </w:r>
            <w:proofErr w:type="gramStart"/>
            <w:r>
              <w:rPr>
                <w:rFonts w:hint="eastAsia"/>
                <w:szCs w:val="21"/>
              </w:rPr>
              <w:t>( 100</w:t>
            </w:r>
            <w:proofErr w:type="gramEnd"/>
            <w:r>
              <w:rPr>
                <w:rFonts w:hint="eastAsia"/>
                <w:szCs w:val="21"/>
              </w:rPr>
              <w:t>%)</w:t>
            </w: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r>
              <w:rPr>
                <w:rFonts w:hint="eastAsia"/>
                <w:szCs w:val="21"/>
              </w:rPr>
              <w:t>科室收入</w:t>
            </w:r>
          </w:p>
        </w:tc>
        <w:tc>
          <w:tcPr>
            <w:tcW w:w="776" w:type="dxa"/>
            <w:tcBorders>
              <w:top w:val="single" w:sz="4" w:space="0" w:color="auto"/>
              <w:left w:val="single" w:sz="4" w:space="0" w:color="auto"/>
              <w:bottom w:val="single" w:sz="4" w:space="0" w:color="auto"/>
            </w:tcBorders>
          </w:tcPr>
          <w:p w:rsidR="002C02E6" w:rsidRDefault="002C02E6">
            <w:pPr>
              <w:jc w:val="center"/>
              <w:rPr>
                <w:szCs w:val="21"/>
              </w:rPr>
            </w:pPr>
          </w:p>
        </w:tc>
        <w:tc>
          <w:tcPr>
            <w:tcW w:w="1306" w:type="dxa"/>
            <w:tcBorders>
              <w:top w:val="single" w:sz="4" w:space="0" w:color="auto"/>
              <w:bottom w:val="single" w:sz="4" w:space="0" w:color="auto"/>
            </w:tcBorders>
          </w:tcPr>
          <w:p w:rsidR="002C02E6" w:rsidRDefault="002C02E6">
            <w:pPr>
              <w:jc w:val="center"/>
              <w:rPr>
                <w:szCs w:val="21"/>
              </w:rPr>
            </w:pPr>
          </w:p>
        </w:tc>
        <w:tc>
          <w:tcPr>
            <w:tcW w:w="1344" w:type="dxa"/>
            <w:tcBorders>
              <w:top w:val="single" w:sz="4" w:space="0" w:color="auto"/>
              <w:bottom w:val="single" w:sz="4" w:space="0" w:color="auto"/>
            </w:tcBorders>
          </w:tcPr>
          <w:p w:rsidR="002C02E6" w:rsidRDefault="002C02E6">
            <w:pPr>
              <w:jc w:val="center"/>
              <w:rPr>
                <w:szCs w:val="21"/>
              </w:rPr>
            </w:pPr>
          </w:p>
        </w:tc>
        <w:tc>
          <w:tcPr>
            <w:tcW w:w="1344" w:type="dxa"/>
            <w:tcBorders>
              <w:top w:val="single" w:sz="4" w:space="0" w:color="auto"/>
              <w:bottom w:val="single" w:sz="4" w:space="0" w:color="auto"/>
            </w:tcBorders>
          </w:tcPr>
          <w:p w:rsidR="002C02E6" w:rsidRDefault="002C02E6">
            <w:pPr>
              <w:jc w:val="center"/>
              <w:rPr>
                <w:szCs w:val="21"/>
              </w:rPr>
            </w:pPr>
          </w:p>
        </w:tc>
        <w:tc>
          <w:tcPr>
            <w:tcW w:w="1218" w:type="dxa"/>
            <w:tcBorders>
              <w:top w:val="single" w:sz="4" w:space="0" w:color="auto"/>
              <w:bottom w:val="single" w:sz="4" w:space="0" w:color="auto"/>
            </w:tcBorders>
          </w:tcPr>
          <w:p w:rsidR="002C02E6" w:rsidRDefault="002C02E6">
            <w:pPr>
              <w:jc w:val="center"/>
              <w:rPr>
                <w:szCs w:val="21"/>
              </w:rPr>
            </w:pPr>
          </w:p>
        </w:tc>
        <w:tc>
          <w:tcPr>
            <w:tcW w:w="1241" w:type="dxa"/>
            <w:tcBorders>
              <w:top w:val="single" w:sz="4" w:space="0" w:color="auto"/>
              <w:bottom w:val="single" w:sz="4" w:space="0" w:color="auto"/>
            </w:tcBorders>
          </w:tcPr>
          <w:p w:rsidR="002C02E6" w:rsidRDefault="002C02E6">
            <w:pPr>
              <w:jc w:val="center"/>
              <w:rPr>
                <w:szCs w:val="21"/>
              </w:rPr>
            </w:pP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r>
              <w:rPr>
                <w:rFonts w:hint="eastAsia"/>
                <w:szCs w:val="21"/>
              </w:rPr>
              <w:t>收入</w:t>
            </w:r>
            <w:r>
              <w:rPr>
                <w:rFonts w:hint="eastAsia"/>
                <w:szCs w:val="21"/>
              </w:rPr>
              <w:t>-</w:t>
            </w:r>
            <w:r>
              <w:rPr>
                <w:rFonts w:hint="eastAsia"/>
                <w:szCs w:val="21"/>
              </w:rPr>
              <w:t>成本</w:t>
            </w:r>
          </w:p>
        </w:tc>
        <w:tc>
          <w:tcPr>
            <w:tcW w:w="776" w:type="dxa"/>
            <w:tcBorders>
              <w:top w:val="single" w:sz="4" w:space="0" w:color="auto"/>
              <w:left w:val="single" w:sz="4" w:space="0" w:color="auto"/>
              <w:bottom w:val="single" w:sz="4" w:space="0" w:color="auto"/>
            </w:tcBorders>
          </w:tcPr>
          <w:p w:rsidR="002C02E6" w:rsidRDefault="002C02E6">
            <w:pPr>
              <w:jc w:val="center"/>
              <w:rPr>
                <w:szCs w:val="21"/>
              </w:rPr>
            </w:pPr>
          </w:p>
        </w:tc>
        <w:tc>
          <w:tcPr>
            <w:tcW w:w="1306" w:type="dxa"/>
            <w:tcBorders>
              <w:top w:val="single" w:sz="4" w:space="0" w:color="auto"/>
              <w:bottom w:val="single" w:sz="4" w:space="0" w:color="auto"/>
            </w:tcBorders>
          </w:tcPr>
          <w:p w:rsidR="002C02E6" w:rsidRDefault="002C02E6">
            <w:pPr>
              <w:jc w:val="center"/>
              <w:rPr>
                <w:szCs w:val="21"/>
              </w:rPr>
            </w:pPr>
          </w:p>
        </w:tc>
        <w:tc>
          <w:tcPr>
            <w:tcW w:w="1344" w:type="dxa"/>
            <w:tcBorders>
              <w:top w:val="single" w:sz="4" w:space="0" w:color="auto"/>
              <w:bottom w:val="single" w:sz="4" w:space="0" w:color="auto"/>
            </w:tcBorders>
          </w:tcPr>
          <w:p w:rsidR="002C02E6" w:rsidRDefault="002C02E6">
            <w:pPr>
              <w:jc w:val="center"/>
              <w:rPr>
                <w:szCs w:val="21"/>
              </w:rPr>
            </w:pPr>
          </w:p>
        </w:tc>
        <w:tc>
          <w:tcPr>
            <w:tcW w:w="1344" w:type="dxa"/>
            <w:tcBorders>
              <w:top w:val="single" w:sz="4" w:space="0" w:color="auto"/>
              <w:bottom w:val="single" w:sz="4" w:space="0" w:color="auto"/>
            </w:tcBorders>
          </w:tcPr>
          <w:p w:rsidR="002C02E6" w:rsidRDefault="002C02E6">
            <w:pPr>
              <w:jc w:val="center"/>
              <w:rPr>
                <w:szCs w:val="21"/>
              </w:rPr>
            </w:pPr>
          </w:p>
        </w:tc>
        <w:tc>
          <w:tcPr>
            <w:tcW w:w="1218" w:type="dxa"/>
            <w:tcBorders>
              <w:top w:val="single" w:sz="4" w:space="0" w:color="auto"/>
              <w:bottom w:val="single" w:sz="4" w:space="0" w:color="auto"/>
            </w:tcBorders>
          </w:tcPr>
          <w:p w:rsidR="002C02E6" w:rsidRDefault="002C02E6">
            <w:pPr>
              <w:jc w:val="center"/>
              <w:rPr>
                <w:szCs w:val="21"/>
              </w:rPr>
            </w:pPr>
          </w:p>
        </w:tc>
        <w:tc>
          <w:tcPr>
            <w:tcW w:w="1241" w:type="dxa"/>
            <w:tcBorders>
              <w:top w:val="single" w:sz="4" w:space="0" w:color="auto"/>
              <w:bottom w:val="single" w:sz="4" w:space="0" w:color="auto"/>
            </w:tcBorders>
          </w:tcPr>
          <w:p w:rsidR="002C02E6" w:rsidRDefault="002C02E6">
            <w:pPr>
              <w:jc w:val="center"/>
              <w:rPr>
                <w:szCs w:val="21"/>
              </w:rPr>
            </w:pP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proofErr w:type="gramStart"/>
            <w:r>
              <w:rPr>
                <w:rFonts w:hint="eastAsia"/>
                <w:szCs w:val="21"/>
              </w:rPr>
              <w:t>床日成本</w:t>
            </w:r>
            <w:proofErr w:type="gramEnd"/>
          </w:p>
        </w:tc>
        <w:tc>
          <w:tcPr>
            <w:tcW w:w="776" w:type="dxa"/>
            <w:tcBorders>
              <w:top w:val="single" w:sz="4" w:space="0" w:color="auto"/>
              <w:left w:val="single" w:sz="4" w:space="0" w:color="auto"/>
              <w:bottom w:val="single" w:sz="4" w:space="0" w:color="auto"/>
            </w:tcBorders>
          </w:tcPr>
          <w:p w:rsidR="002C02E6" w:rsidRDefault="00C917C2">
            <w:pPr>
              <w:jc w:val="center"/>
              <w:rPr>
                <w:szCs w:val="21"/>
              </w:rPr>
            </w:pPr>
            <w:r>
              <w:rPr>
                <w:rFonts w:hint="eastAsia"/>
                <w:szCs w:val="21"/>
              </w:rPr>
              <w:t>-</w:t>
            </w:r>
          </w:p>
        </w:tc>
        <w:tc>
          <w:tcPr>
            <w:tcW w:w="1306"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344"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344"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218" w:type="dxa"/>
            <w:tcBorders>
              <w:top w:val="single" w:sz="4" w:space="0" w:color="auto"/>
              <w:bottom w:val="single" w:sz="4" w:space="0" w:color="auto"/>
            </w:tcBorders>
          </w:tcPr>
          <w:p w:rsidR="002C02E6" w:rsidRDefault="002C02E6">
            <w:pPr>
              <w:jc w:val="center"/>
              <w:rPr>
                <w:szCs w:val="21"/>
              </w:rPr>
            </w:pPr>
          </w:p>
        </w:tc>
        <w:tc>
          <w:tcPr>
            <w:tcW w:w="1241" w:type="dxa"/>
            <w:tcBorders>
              <w:top w:val="single" w:sz="4" w:space="0" w:color="auto"/>
              <w:bottom w:val="single" w:sz="4" w:space="0" w:color="auto"/>
            </w:tcBorders>
          </w:tcPr>
          <w:p w:rsidR="002C02E6" w:rsidRDefault="00C917C2">
            <w:pPr>
              <w:jc w:val="center"/>
              <w:rPr>
                <w:szCs w:val="21"/>
              </w:rPr>
            </w:pPr>
            <w:r>
              <w:rPr>
                <w:rFonts w:hint="eastAsia"/>
                <w:szCs w:val="21"/>
              </w:rPr>
              <w:t>-</w:t>
            </w:r>
          </w:p>
        </w:tc>
      </w:tr>
      <w:tr w:rsidR="002C02E6">
        <w:trPr>
          <w:cantSplit/>
        </w:trPr>
        <w:tc>
          <w:tcPr>
            <w:tcW w:w="1985" w:type="dxa"/>
            <w:tcBorders>
              <w:top w:val="single" w:sz="4" w:space="0" w:color="auto"/>
              <w:bottom w:val="single" w:sz="4" w:space="0" w:color="auto"/>
              <w:right w:val="single" w:sz="4" w:space="0" w:color="auto"/>
            </w:tcBorders>
            <w:vAlign w:val="center"/>
          </w:tcPr>
          <w:p w:rsidR="002C02E6" w:rsidRDefault="00C917C2">
            <w:pPr>
              <w:jc w:val="center"/>
              <w:rPr>
                <w:szCs w:val="21"/>
              </w:rPr>
            </w:pPr>
            <w:r>
              <w:rPr>
                <w:rFonts w:hint="eastAsia"/>
                <w:szCs w:val="21"/>
              </w:rPr>
              <w:t>诊次成本</w:t>
            </w:r>
          </w:p>
        </w:tc>
        <w:tc>
          <w:tcPr>
            <w:tcW w:w="776" w:type="dxa"/>
            <w:tcBorders>
              <w:top w:val="single" w:sz="4" w:space="0" w:color="auto"/>
              <w:left w:val="single" w:sz="4" w:space="0" w:color="auto"/>
              <w:bottom w:val="single" w:sz="4" w:space="0" w:color="auto"/>
            </w:tcBorders>
          </w:tcPr>
          <w:p w:rsidR="002C02E6" w:rsidRDefault="00C917C2">
            <w:pPr>
              <w:jc w:val="center"/>
              <w:rPr>
                <w:szCs w:val="21"/>
              </w:rPr>
            </w:pPr>
            <w:r>
              <w:rPr>
                <w:rFonts w:hint="eastAsia"/>
                <w:szCs w:val="21"/>
              </w:rPr>
              <w:t>-</w:t>
            </w:r>
          </w:p>
        </w:tc>
        <w:tc>
          <w:tcPr>
            <w:tcW w:w="1306"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344"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344" w:type="dxa"/>
            <w:tcBorders>
              <w:top w:val="single" w:sz="4" w:space="0" w:color="auto"/>
              <w:bottom w:val="single" w:sz="4" w:space="0" w:color="auto"/>
            </w:tcBorders>
          </w:tcPr>
          <w:p w:rsidR="002C02E6" w:rsidRDefault="00C917C2">
            <w:pPr>
              <w:jc w:val="center"/>
              <w:rPr>
                <w:szCs w:val="21"/>
              </w:rPr>
            </w:pPr>
            <w:r>
              <w:rPr>
                <w:rFonts w:hint="eastAsia"/>
                <w:szCs w:val="21"/>
              </w:rPr>
              <w:t>-</w:t>
            </w:r>
          </w:p>
        </w:tc>
        <w:tc>
          <w:tcPr>
            <w:tcW w:w="1218" w:type="dxa"/>
            <w:tcBorders>
              <w:top w:val="single" w:sz="4" w:space="0" w:color="auto"/>
              <w:bottom w:val="single" w:sz="4" w:space="0" w:color="auto"/>
            </w:tcBorders>
          </w:tcPr>
          <w:p w:rsidR="002C02E6" w:rsidRDefault="002C02E6">
            <w:pPr>
              <w:jc w:val="center"/>
              <w:rPr>
                <w:szCs w:val="21"/>
              </w:rPr>
            </w:pPr>
          </w:p>
        </w:tc>
        <w:tc>
          <w:tcPr>
            <w:tcW w:w="1241" w:type="dxa"/>
            <w:tcBorders>
              <w:top w:val="single" w:sz="4" w:space="0" w:color="auto"/>
              <w:bottom w:val="single" w:sz="4" w:space="0" w:color="auto"/>
            </w:tcBorders>
          </w:tcPr>
          <w:p w:rsidR="002C02E6" w:rsidRDefault="00C917C2">
            <w:pPr>
              <w:jc w:val="center"/>
              <w:rPr>
                <w:szCs w:val="21"/>
              </w:rPr>
            </w:pPr>
            <w:r>
              <w:rPr>
                <w:rFonts w:hint="eastAsia"/>
                <w:szCs w:val="21"/>
              </w:rPr>
              <w:t>-</w:t>
            </w:r>
          </w:p>
        </w:tc>
      </w:tr>
    </w:tbl>
    <w:p w:rsidR="002C02E6" w:rsidRDefault="00C917C2">
      <w:pPr>
        <w:rPr>
          <w:rFonts w:ascii="宋体" w:hAnsi="宋体"/>
          <w:szCs w:val="21"/>
        </w:rPr>
      </w:pPr>
      <w:r>
        <w:rPr>
          <w:rFonts w:hint="eastAsia"/>
          <w:szCs w:val="21"/>
        </w:rPr>
        <w:t>说明：本表用于对医院临床服务类科室全成本要素及其结构进行分析与监测。</w:t>
      </w:r>
      <w:r>
        <w:rPr>
          <w:szCs w:val="21"/>
        </w:rPr>
        <w:t>“</w:t>
      </w:r>
      <w:r>
        <w:rPr>
          <w:rFonts w:hint="eastAsia"/>
          <w:szCs w:val="21"/>
        </w:rPr>
        <w:t>##</w:t>
      </w:r>
      <w:r>
        <w:rPr>
          <w:szCs w:val="21"/>
        </w:rPr>
        <w:t>”</w:t>
      </w:r>
      <w:r>
        <w:rPr>
          <w:rFonts w:hint="eastAsia"/>
          <w:szCs w:val="21"/>
        </w:rPr>
        <w:t>为某一临床服务类科室不同成本项目的构成比</w:t>
      </w:r>
      <w:r>
        <w:rPr>
          <w:rFonts w:hint="eastAsia"/>
          <w:szCs w:val="21"/>
        </w:rPr>
        <w:t>,</w:t>
      </w:r>
      <w:r>
        <w:rPr>
          <w:szCs w:val="21"/>
        </w:rPr>
        <w:t xml:space="preserve"> </w:t>
      </w:r>
      <w:r>
        <w:rPr>
          <w:rFonts w:hint="eastAsia"/>
          <w:szCs w:val="21"/>
        </w:rPr>
        <w:t>用于分析各临床服务类科室的成本结构，确定各科室内部成本管理的重点成本项目。科室全成本包括临床服务类科室直接成本和分摊转移的间接成本。诊次</w:t>
      </w:r>
      <w:proofErr w:type="gramStart"/>
      <w:r>
        <w:rPr>
          <w:rFonts w:hint="eastAsia"/>
          <w:szCs w:val="21"/>
        </w:rPr>
        <w:t>和床日成本核算</w:t>
      </w:r>
      <w:proofErr w:type="gramEnd"/>
      <w:r>
        <w:rPr>
          <w:rFonts w:hint="eastAsia"/>
          <w:szCs w:val="21"/>
        </w:rPr>
        <w:t>是以诊次、</w:t>
      </w:r>
      <w:proofErr w:type="gramStart"/>
      <w:r>
        <w:rPr>
          <w:rFonts w:hint="eastAsia"/>
          <w:szCs w:val="21"/>
        </w:rPr>
        <w:t>床日为</w:t>
      </w:r>
      <w:proofErr w:type="gramEnd"/>
      <w:r>
        <w:rPr>
          <w:rFonts w:hint="eastAsia"/>
          <w:szCs w:val="21"/>
        </w:rPr>
        <w:t>核算对象，将科室成本进一步分摊到门急诊人次、住院床日中，计算出诊次成本、</w:t>
      </w:r>
      <w:proofErr w:type="gramStart"/>
      <w:r>
        <w:rPr>
          <w:rFonts w:hint="eastAsia"/>
          <w:szCs w:val="21"/>
        </w:rPr>
        <w:t>床日成本</w:t>
      </w:r>
      <w:proofErr w:type="gramEnd"/>
      <w:r>
        <w:rPr>
          <w:rFonts w:hint="eastAsia"/>
          <w:szCs w:val="21"/>
        </w:rPr>
        <w:t>。</w:t>
      </w:r>
    </w:p>
    <w:p w:rsidR="002C02E6" w:rsidRDefault="00C917C2">
      <w:pPr>
        <w:numPr>
          <w:ilvl w:val="0"/>
          <w:numId w:val="9"/>
        </w:numPr>
        <w:spacing w:line="600" w:lineRule="exact"/>
        <w:ind w:left="0" w:firstLineChars="200" w:firstLine="640"/>
        <w:rPr>
          <w:rFonts w:ascii="仿宋_GB2312" w:eastAsia="仿宋_GB2312"/>
          <w:sz w:val="32"/>
          <w:szCs w:val="32"/>
        </w:rPr>
      </w:pPr>
      <w:r>
        <w:rPr>
          <w:rFonts w:ascii="仿宋_GB2312" w:eastAsia="仿宋_GB2312" w:hint="eastAsia"/>
          <w:sz w:val="32"/>
          <w:szCs w:val="32"/>
        </w:rPr>
        <w:t>科室业绩评价</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按照“四类三级成本分摊法”完成的成本核算过程可以完成《医院财务制度》要求的三张报表，并最终通过临床服务类科室反映出科室的经营效果。这是远远不够的。原因为：</w:t>
      </w:r>
    </w:p>
    <w:p w:rsidR="002C02E6" w:rsidRDefault="00C917C2">
      <w:pPr>
        <w:spacing w:line="600" w:lineRule="exact"/>
        <w:ind w:firstLineChars="200" w:firstLine="640"/>
        <w:rPr>
          <w:rFonts w:ascii="仿宋_GB2312" w:eastAsia="仿宋_GB2312"/>
          <w:bCs/>
          <w:sz w:val="32"/>
          <w:szCs w:val="32"/>
        </w:rPr>
      </w:pPr>
      <w:r>
        <w:rPr>
          <w:rFonts w:ascii="仿宋_GB2312" w:eastAsia="仿宋_GB2312" w:hint="eastAsia"/>
          <w:sz w:val="32"/>
          <w:szCs w:val="32"/>
        </w:rPr>
        <w:t>第一，</w:t>
      </w:r>
      <w:r>
        <w:rPr>
          <w:rFonts w:ascii="仿宋_GB2312" w:eastAsia="仿宋_GB2312" w:hint="eastAsia"/>
          <w:bCs/>
          <w:sz w:val="32"/>
          <w:szCs w:val="32"/>
        </w:rPr>
        <w:t>无法反映医疗技术类科室的经营成果</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四类三级分摊后无法反映医疗技术类科室的经营成果，</w:t>
      </w:r>
      <w:r>
        <w:rPr>
          <w:rFonts w:ascii="仿宋_GB2312" w:eastAsia="仿宋_GB2312"/>
          <w:sz w:val="32"/>
          <w:szCs w:val="32"/>
        </w:rPr>
        <w:t>医疗技术类科室目前</w:t>
      </w:r>
      <w:r>
        <w:rPr>
          <w:rFonts w:ascii="仿宋_GB2312" w:eastAsia="仿宋_GB2312" w:hint="eastAsia"/>
          <w:sz w:val="32"/>
          <w:szCs w:val="32"/>
        </w:rPr>
        <w:t>仍是医院成本补偿的主要来源，成本分摊后，医疗技术类科室的盈亏状况无法科学的反映。</w:t>
      </w:r>
    </w:p>
    <w:p w:rsidR="002C02E6" w:rsidRDefault="00C917C2">
      <w:pPr>
        <w:spacing w:line="600" w:lineRule="exact"/>
        <w:ind w:firstLineChars="200" w:firstLine="640"/>
        <w:rPr>
          <w:rFonts w:ascii="仿宋_GB2312" w:eastAsia="仿宋_GB2312"/>
          <w:bCs/>
          <w:sz w:val="32"/>
          <w:szCs w:val="32"/>
        </w:rPr>
      </w:pPr>
      <w:r>
        <w:rPr>
          <w:rFonts w:ascii="仿宋_GB2312" w:eastAsia="仿宋_GB2312" w:hint="eastAsia"/>
          <w:sz w:val="32"/>
          <w:szCs w:val="32"/>
        </w:rPr>
        <w:lastRenderedPageBreak/>
        <w:t>第二，</w:t>
      </w:r>
      <w:r>
        <w:rPr>
          <w:rFonts w:ascii="仿宋_GB2312" w:eastAsia="仿宋_GB2312" w:hint="eastAsia"/>
          <w:bCs/>
          <w:sz w:val="32"/>
          <w:szCs w:val="32"/>
        </w:rPr>
        <w:t>四类三级分摊后的临床服务类科室的经营成果是不科学不真实的</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经过分摊后的临床服务类科室的经营成果不能科学的反映科室的盈亏状况，</w:t>
      </w:r>
      <w:r>
        <w:rPr>
          <w:rFonts w:ascii="仿宋_GB2312" w:eastAsia="仿宋_GB2312"/>
          <w:sz w:val="32"/>
          <w:szCs w:val="32"/>
        </w:rPr>
        <w:t>药品收入、检查收入、</w:t>
      </w:r>
      <w:r>
        <w:rPr>
          <w:rFonts w:ascii="仿宋_GB2312" w:eastAsia="仿宋_GB2312" w:hint="eastAsia"/>
          <w:sz w:val="32"/>
          <w:szCs w:val="32"/>
        </w:rPr>
        <w:t>化验</w:t>
      </w:r>
      <w:r>
        <w:rPr>
          <w:rFonts w:ascii="仿宋_GB2312" w:eastAsia="仿宋_GB2312"/>
          <w:sz w:val="32"/>
          <w:szCs w:val="32"/>
        </w:rPr>
        <w:t>收入</w:t>
      </w:r>
      <w:r>
        <w:rPr>
          <w:rFonts w:ascii="仿宋_GB2312" w:eastAsia="仿宋_GB2312" w:hint="eastAsia"/>
          <w:sz w:val="32"/>
          <w:szCs w:val="32"/>
        </w:rPr>
        <w:t>分摊进临床服务类科室，临床服务类科室出现收支结余往往是医技类科室经营所致，掩盖了临床服务类科室真正的经营状况；</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另一方面，按照国务院《关于公立医院改革的指导意见》，鼓励地区探索独立设置病理、检验、影像、血液透析机构，影像、检验、病理等收入从临床服务类科室剥离是大势所趋；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按照国家关于医院“九不准”的相关要求，把检查、化验类科室纳入临床类科室也不太适宜，因此，按照四类三级分摊法对临床服务类科室进行业绩评价从管理的角度看意义不大。</w:t>
      </w:r>
    </w:p>
    <w:p w:rsidR="002C02E6" w:rsidRDefault="00C917C2">
      <w:pPr>
        <w:spacing w:line="600" w:lineRule="exact"/>
        <w:ind w:firstLineChars="200" w:firstLine="640"/>
        <w:rPr>
          <w:rFonts w:ascii="仿宋_GB2312" w:eastAsia="仿宋_GB2312"/>
          <w:sz w:val="32"/>
          <w:szCs w:val="32"/>
        </w:rPr>
      </w:pPr>
      <w:bookmarkStart w:id="41" w:name="_Toc510947534"/>
      <w:r>
        <w:rPr>
          <w:rFonts w:ascii="仿宋_GB2312" w:eastAsia="仿宋_GB2312" w:hint="eastAsia"/>
          <w:sz w:val="32"/>
          <w:szCs w:val="32"/>
        </w:rPr>
        <w:t>①科室业绩评价体系设计的思路</w:t>
      </w:r>
      <w:bookmarkEnd w:id="4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组设计新的科室业绩评价体系，科室包括临床服务类科室和医疗技术类科室，收入端口径仅将本科室自己完成的收入作为收入标准，称为执行收入，成本端是科室能够控制的成本，称为可控成本，例如管理费用就不能纳入临床科室成本范围。</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这就确定了科室业绩评价的收支口径。收入</w:t>
      </w:r>
      <w:proofErr w:type="gramStart"/>
      <w:r>
        <w:rPr>
          <w:rFonts w:ascii="仿宋_GB2312" w:eastAsia="仿宋_GB2312" w:hint="eastAsia"/>
          <w:sz w:val="32"/>
          <w:szCs w:val="32"/>
        </w:rPr>
        <w:t>端包括</w:t>
      </w:r>
      <w:proofErr w:type="gramEnd"/>
      <w:r>
        <w:rPr>
          <w:rFonts w:ascii="仿宋_GB2312" w:eastAsia="仿宋_GB2312" w:hint="eastAsia"/>
          <w:sz w:val="32"/>
          <w:szCs w:val="32"/>
        </w:rPr>
        <w:t>科室发生的诊察收入、治疗收入、手术收入、卫生材料收入、护理收入、其他收入等执行收入，不含药品收入、化验收入、检查收入，对于外科的手术收入，计入手术室收入的，也要按照病人所属科室转化为临床科室的收入；支出端不包括药品费和管理费用。反映</w:t>
      </w:r>
      <w:r>
        <w:rPr>
          <w:rFonts w:ascii="仿宋_GB2312" w:eastAsia="仿宋_GB2312" w:hint="eastAsia"/>
          <w:sz w:val="32"/>
          <w:szCs w:val="32"/>
        </w:rPr>
        <w:lastRenderedPageBreak/>
        <w:t>临床服务类科室和医疗技术类科室盈亏状况的收支结余的计算公式为：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临床服务类科室收支结余=临床服务类科室执行收入-临床服务类科室可控成本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医疗技术类科室收支结余=医疗技术类科室执行收入-医疗技术类科室可控成本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②</w:t>
      </w:r>
      <w:bookmarkStart w:id="42" w:name="_Toc510947535"/>
      <w:r>
        <w:rPr>
          <w:rFonts w:ascii="仿宋_GB2312" w:eastAsia="仿宋_GB2312" w:hint="eastAsia"/>
          <w:sz w:val="32"/>
          <w:szCs w:val="32"/>
        </w:rPr>
        <w:t>设计</w:t>
      </w:r>
      <w:r>
        <w:rPr>
          <w:rFonts w:ascii="仿宋_GB2312" w:eastAsia="仿宋_GB2312" w:hint="eastAsia"/>
          <w:bCs/>
          <w:sz w:val="32"/>
          <w:szCs w:val="32"/>
        </w:rPr>
        <w:t>科室业绩评价报告</w:t>
      </w:r>
      <w:bookmarkEnd w:id="4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按照以上的思路，项目组设计了科室业绩评价报告的分析模板，下图为临床服务类科室和医疗技术类科室的模板。</w:t>
      </w:r>
    </w:p>
    <w:p w:rsidR="002C02E6" w:rsidRDefault="00C917C2">
      <w:pPr>
        <w:spacing w:line="600" w:lineRule="exact"/>
        <w:ind w:firstLineChars="200" w:firstLine="640"/>
        <w:jc w:val="center"/>
        <w:rPr>
          <w:rFonts w:ascii="仿宋_GB2312" w:eastAsia="仿宋_GB2312"/>
          <w:sz w:val="32"/>
          <w:szCs w:val="32"/>
        </w:rPr>
      </w:pPr>
      <w:r>
        <w:rPr>
          <w:rFonts w:ascii="仿宋_GB2312" w:eastAsia="仿宋_GB2312" w:hint="eastAsia"/>
          <w:sz w:val="32"/>
          <w:szCs w:val="32"/>
        </w:rPr>
        <w:t>图1：临床服务类科室报告模板</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48512" behindDoc="0" locked="0" layoutInCell="1" allowOverlap="1">
            <wp:simplePos x="0" y="0"/>
            <wp:positionH relativeFrom="column">
              <wp:posOffset>1136015</wp:posOffset>
            </wp:positionH>
            <wp:positionV relativeFrom="paragraph">
              <wp:posOffset>151765</wp:posOffset>
            </wp:positionV>
            <wp:extent cx="3583940" cy="2327275"/>
            <wp:effectExtent l="0" t="0" r="0" b="0"/>
            <wp:wrapSquare wrapText="bothSides"/>
            <wp:docPr id="5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394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2C02E6">
      <w:pPr>
        <w:spacing w:line="600" w:lineRule="exact"/>
        <w:ind w:firstLineChars="200" w:firstLine="640"/>
        <w:rPr>
          <w:rFonts w:ascii="仿宋_GB2312" w:eastAsia="仿宋_GB2312"/>
          <w:sz w:val="32"/>
          <w:szCs w:val="32"/>
        </w:rPr>
      </w:pPr>
    </w:p>
    <w:p w:rsidR="002C02E6" w:rsidRDefault="002C02E6">
      <w:pPr>
        <w:spacing w:line="600" w:lineRule="exact"/>
        <w:ind w:firstLineChars="200" w:firstLine="640"/>
        <w:rPr>
          <w:rFonts w:ascii="仿宋_GB2312" w:eastAsia="仿宋_GB2312"/>
          <w:sz w:val="32"/>
          <w:szCs w:val="32"/>
        </w:rPr>
      </w:pPr>
    </w:p>
    <w:p w:rsidR="002C02E6" w:rsidRDefault="002C02E6">
      <w:pPr>
        <w:spacing w:line="600" w:lineRule="exact"/>
        <w:ind w:firstLineChars="200" w:firstLine="640"/>
        <w:rPr>
          <w:rFonts w:ascii="仿宋_GB2312" w:eastAsia="仿宋_GB2312"/>
          <w:sz w:val="32"/>
          <w:szCs w:val="32"/>
        </w:rPr>
      </w:pPr>
    </w:p>
    <w:p w:rsidR="002C02E6" w:rsidRDefault="002C02E6">
      <w:pPr>
        <w:spacing w:line="600" w:lineRule="exact"/>
        <w:ind w:firstLineChars="200" w:firstLine="640"/>
        <w:rPr>
          <w:rFonts w:ascii="仿宋_GB2312" w:eastAsia="仿宋_GB2312"/>
          <w:sz w:val="32"/>
          <w:szCs w:val="32"/>
        </w:rPr>
      </w:pPr>
    </w:p>
    <w:p w:rsidR="002C02E6" w:rsidRDefault="002C02E6">
      <w:pPr>
        <w:spacing w:line="600" w:lineRule="exact"/>
        <w:ind w:firstLineChars="200" w:firstLine="640"/>
        <w:rPr>
          <w:rFonts w:ascii="仿宋_GB2312" w:eastAsia="仿宋_GB2312"/>
          <w:sz w:val="32"/>
          <w:szCs w:val="32"/>
        </w:rPr>
      </w:pPr>
    </w:p>
    <w:p w:rsidR="002C02E6" w:rsidRDefault="002C02E6">
      <w:pPr>
        <w:spacing w:line="600" w:lineRule="exact"/>
        <w:ind w:firstLineChars="200" w:firstLine="640"/>
        <w:rPr>
          <w:rFonts w:ascii="仿宋_GB2312" w:eastAsia="仿宋_GB2312"/>
          <w:sz w:val="32"/>
          <w:szCs w:val="32"/>
        </w:rPr>
      </w:pP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临床服务类科室包括了三部分内容，分别是服务量、经济运行状况和当前</w:t>
      </w:r>
      <w:proofErr w:type="gramStart"/>
      <w:r>
        <w:rPr>
          <w:rFonts w:ascii="仿宋_GB2312" w:eastAsia="仿宋_GB2312" w:hint="eastAsia"/>
          <w:sz w:val="32"/>
          <w:szCs w:val="32"/>
        </w:rPr>
        <w:t>医改关心的控费</w:t>
      </w:r>
      <w:proofErr w:type="gramEnd"/>
      <w:r>
        <w:rPr>
          <w:rFonts w:ascii="仿宋_GB2312" w:eastAsia="仿宋_GB2312" w:hint="eastAsia"/>
          <w:sz w:val="32"/>
          <w:szCs w:val="32"/>
        </w:rPr>
        <w:t>情况。服务量下根据门诊和住院进一步细分，经济运行状况包括收入、成本和收支结余状况，</w:t>
      </w:r>
      <w:proofErr w:type="gramStart"/>
      <w:r>
        <w:rPr>
          <w:rFonts w:ascii="仿宋_GB2312" w:eastAsia="仿宋_GB2312" w:hint="eastAsia"/>
          <w:sz w:val="32"/>
          <w:szCs w:val="32"/>
        </w:rPr>
        <w:t>控费情况</w:t>
      </w:r>
      <w:proofErr w:type="gramEnd"/>
      <w:r>
        <w:rPr>
          <w:rFonts w:ascii="仿宋_GB2312" w:eastAsia="仿宋_GB2312" w:hint="eastAsia"/>
          <w:sz w:val="32"/>
          <w:szCs w:val="32"/>
        </w:rPr>
        <w:t>列示了国家</w:t>
      </w:r>
      <w:proofErr w:type="gramStart"/>
      <w:r>
        <w:rPr>
          <w:rFonts w:ascii="仿宋_GB2312" w:eastAsia="仿宋_GB2312" w:hint="eastAsia"/>
          <w:sz w:val="32"/>
          <w:szCs w:val="32"/>
        </w:rPr>
        <w:t>医改要求</w:t>
      </w:r>
      <w:proofErr w:type="gramEnd"/>
      <w:r>
        <w:rPr>
          <w:rFonts w:ascii="仿宋_GB2312" w:eastAsia="仿宋_GB2312" w:hint="eastAsia"/>
          <w:sz w:val="32"/>
          <w:szCs w:val="32"/>
        </w:rPr>
        <w:t>的各项指标。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医疗技术类科室包括了经济运行状况共一类指标，又细分为</w:t>
      </w:r>
      <w:r>
        <w:rPr>
          <w:rFonts w:ascii="仿宋_GB2312" w:eastAsia="仿宋_GB2312" w:hint="eastAsia"/>
          <w:sz w:val="32"/>
          <w:szCs w:val="32"/>
        </w:rPr>
        <w:lastRenderedPageBreak/>
        <w:t>收入、成本和收支结余情况三个层面。</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通过报告的形式就能够比较完美的把临床服务类和医疗技术类科室的经济运行状况-盈亏情况比较科学的反映出来，科室可以根据报告揭示的内容有针对性的改进管理。</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③</w:t>
      </w:r>
      <w:r>
        <w:rPr>
          <w:rFonts w:ascii="仿宋_GB2312" w:eastAsia="仿宋_GB2312" w:hint="eastAsia"/>
          <w:bCs/>
          <w:sz w:val="32"/>
          <w:szCs w:val="32"/>
        </w:rPr>
        <w:t>计算机</w:t>
      </w:r>
      <w:bookmarkStart w:id="43" w:name="_Toc510947536"/>
      <w:r>
        <w:rPr>
          <w:rFonts w:ascii="仿宋_GB2312" w:eastAsia="仿宋_GB2312" w:hint="eastAsia"/>
          <w:bCs/>
          <w:sz w:val="32"/>
          <w:szCs w:val="32"/>
        </w:rPr>
        <w:t>智能化产生科室业绩评价报告</w:t>
      </w:r>
      <w:bookmarkEnd w:id="4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我们设计了科室业绩评价报告的指标体系，又设计了科室业绩评价的模板，但要给每个科室出具报告却不是容易的事情，大型医院科室多，每月靠人工撰写报告不现实。</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我们采用了人工智能技术，每月由计算机自动完成三百个科室的科室经济运行报告，包括Word格式、pdf格式和PPT格式，将Pdf格式发布到财务部网站，供科室下载查看，科室根据报告反馈的信息改进管理，降低成本，初步实现精细</w:t>
      </w:r>
      <w:proofErr w:type="gramStart"/>
      <w:r>
        <w:rPr>
          <w:rFonts w:ascii="仿宋_GB2312" w:eastAsia="仿宋_GB2312" w:hint="eastAsia"/>
          <w:sz w:val="32"/>
          <w:szCs w:val="32"/>
        </w:rPr>
        <w:t>化成本</w:t>
      </w:r>
      <w:proofErr w:type="gramEnd"/>
      <w:r>
        <w:rPr>
          <w:rFonts w:ascii="仿宋_GB2312" w:eastAsia="仿宋_GB2312" w:hint="eastAsia"/>
          <w:sz w:val="32"/>
          <w:szCs w:val="32"/>
        </w:rPr>
        <w:t>管理要达到的“算管结合、算为管用”的目标。</w:t>
      </w:r>
    </w:p>
    <w:p w:rsidR="002C02E6" w:rsidRDefault="00C917C2">
      <w:pPr>
        <w:spacing w:line="600" w:lineRule="exact"/>
        <w:ind w:firstLineChars="200" w:firstLine="640"/>
        <w:jc w:val="center"/>
        <w:rPr>
          <w:rFonts w:ascii="仿宋_GB2312" w:eastAsia="仿宋_GB2312"/>
          <w:sz w:val="32"/>
          <w:szCs w:val="32"/>
        </w:rPr>
      </w:pPr>
      <w:r>
        <w:rPr>
          <w:rFonts w:ascii="仿宋_GB2312" w:eastAsia="仿宋_GB2312" w:hint="eastAsia"/>
          <w:sz w:val="32"/>
          <w:szCs w:val="32"/>
        </w:rPr>
        <w:t>图：计算机自动化产生科室经济运行报告</w:t>
      </w:r>
    </w:p>
    <w:p w:rsidR="002C02E6" w:rsidRDefault="00C917C2">
      <w:pPr>
        <w:spacing w:line="600" w:lineRule="exact"/>
        <w:ind w:firstLineChars="200" w:firstLine="420"/>
        <w:rPr>
          <w:rFonts w:ascii="仿宋_GB2312" w:eastAsia="仿宋_GB2312"/>
          <w:sz w:val="32"/>
          <w:szCs w:val="32"/>
        </w:rPr>
      </w:pPr>
      <w:r>
        <w:rPr>
          <w:noProof/>
        </w:rPr>
        <w:lastRenderedPageBreak/>
        <w:drawing>
          <wp:anchor distT="0" distB="0" distL="114300" distR="114300" simplePos="0" relativeHeight="251649536" behindDoc="1" locked="0" layoutInCell="1" allowOverlap="1">
            <wp:simplePos x="0" y="0"/>
            <wp:positionH relativeFrom="column">
              <wp:posOffset>199390</wp:posOffset>
            </wp:positionH>
            <wp:positionV relativeFrom="paragraph">
              <wp:posOffset>34290</wp:posOffset>
            </wp:positionV>
            <wp:extent cx="5514975" cy="3367405"/>
            <wp:effectExtent l="0" t="0" r="0" b="0"/>
            <wp:wrapTight wrapText="bothSides">
              <wp:wrapPolygon edited="0">
                <wp:start x="0" y="0"/>
                <wp:lineTo x="0" y="21506"/>
                <wp:lineTo x="21563" y="21506"/>
                <wp:lineTo x="21563" y="0"/>
                <wp:lineTo x="0" y="0"/>
              </wp:wrapPolygon>
            </wp:wrapTight>
            <wp:docPr id="5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4975"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上图可以看出，根据选择的科室可产生Word格式的经济运行报告，</w:t>
      </w:r>
      <w:r>
        <w:rPr>
          <w:rFonts w:ascii="仿宋_GB2312" w:eastAsia="仿宋_GB2312"/>
          <w:sz w:val="32"/>
          <w:szCs w:val="32"/>
        </w:rPr>
        <w:t>选择</w:t>
      </w:r>
      <w:r>
        <w:rPr>
          <w:rFonts w:ascii="仿宋_GB2312" w:eastAsia="仿宋_GB2312" w:hint="eastAsia"/>
          <w:sz w:val="32"/>
          <w:szCs w:val="32"/>
        </w:rPr>
        <w:t>“</w:t>
      </w:r>
      <w:r>
        <w:rPr>
          <w:rFonts w:ascii="仿宋_GB2312" w:eastAsia="仿宋_GB2312"/>
          <w:sz w:val="32"/>
          <w:szCs w:val="32"/>
        </w:rPr>
        <w:t>全部科室</w:t>
      </w:r>
      <w:r>
        <w:rPr>
          <w:rFonts w:ascii="仿宋_GB2312" w:eastAsia="仿宋_GB2312" w:hint="eastAsia"/>
          <w:sz w:val="32"/>
          <w:szCs w:val="32"/>
        </w:rPr>
        <w:t>”</w:t>
      </w:r>
      <w:r>
        <w:rPr>
          <w:rFonts w:ascii="仿宋_GB2312" w:eastAsia="仿宋_GB2312"/>
          <w:sz w:val="32"/>
          <w:szCs w:val="32"/>
        </w:rPr>
        <w:t>可以一次性产生</w:t>
      </w:r>
      <w:r>
        <w:rPr>
          <w:rFonts w:ascii="仿宋_GB2312" w:eastAsia="仿宋_GB2312" w:hint="eastAsia"/>
          <w:sz w:val="32"/>
          <w:szCs w:val="32"/>
        </w:rPr>
        <w:t>医院所有三百个科室的经济运行报告，约需要计算机一上午的时间。</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w:t>
      </w:r>
      <w:r>
        <w:rPr>
          <w:rFonts w:ascii="仿宋_GB2312" w:eastAsia="仿宋_GB2312"/>
          <w:sz w:val="32"/>
          <w:szCs w:val="32"/>
        </w:rPr>
        <w:t>经济运行报告</w:t>
      </w:r>
      <w:r>
        <w:rPr>
          <w:rFonts w:ascii="仿宋_GB2312" w:eastAsia="仿宋_GB2312" w:hint="eastAsia"/>
          <w:sz w:val="32"/>
          <w:szCs w:val="32"/>
        </w:rPr>
        <w:t>支持W</w:t>
      </w:r>
      <w:r>
        <w:rPr>
          <w:rFonts w:ascii="仿宋_GB2312" w:eastAsia="仿宋_GB2312"/>
          <w:sz w:val="32"/>
          <w:szCs w:val="32"/>
        </w:rPr>
        <w:t>ord</w:t>
      </w:r>
      <w:r>
        <w:rPr>
          <w:rFonts w:ascii="仿宋_GB2312" w:eastAsia="仿宋_GB2312" w:hint="eastAsia"/>
          <w:sz w:val="32"/>
          <w:szCs w:val="32"/>
        </w:rPr>
        <w:t>、PPT格式和P</w:t>
      </w:r>
      <w:r>
        <w:rPr>
          <w:rFonts w:ascii="仿宋_GB2312" w:eastAsia="仿宋_GB2312"/>
          <w:sz w:val="32"/>
          <w:szCs w:val="32"/>
        </w:rPr>
        <w:t>DF</w:t>
      </w:r>
      <w:r>
        <w:rPr>
          <w:rFonts w:ascii="仿宋_GB2312" w:eastAsia="仿宋_GB2312" w:hint="eastAsia"/>
          <w:sz w:val="32"/>
          <w:szCs w:val="32"/>
        </w:rPr>
        <w:t>格式，P</w:t>
      </w:r>
      <w:r>
        <w:rPr>
          <w:rFonts w:ascii="仿宋_GB2312" w:eastAsia="仿宋_GB2312"/>
          <w:sz w:val="32"/>
          <w:szCs w:val="32"/>
        </w:rPr>
        <w:t>DF</w:t>
      </w:r>
      <w:r>
        <w:rPr>
          <w:rFonts w:ascii="仿宋_GB2312" w:eastAsia="仿宋_GB2312" w:hint="eastAsia"/>
          <w:sz w:val="32"/>
          <w:szCs w:val="32"/>
        </w:rPr>
        <w:t>格式发布到网站供科室下载查看，PPT格式为科室提供个性化服务。</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关于科室经济运行报告</w:t>
      </w:r>
      <w:proofErr w:type="gramStart"/>
      <w:r>
        <w:rPr>
          <w:rFonts w:ascii="仿宋_GB2312" w:eastAsia="仿宋_GB2312" w:hint="eastAsia"/>
          <w:sz w:val="32"/>
          <w:szCs w:val="32"/>
        </w:rPr>
        <w:t>的样表详见</w:t>
      </w:r>
      <w:proofErr w:type="gramEnd"/>
      <w:r>
        <w:rPr>
          <w:rFonts w:ascii="仿宋_GB2312" w:eastAsia="仿宋_GB2312" w:hint="eastAsia"/>
          <w:sz w:val="32"/>
          <w:szCs w:val="32"/>
        </w:rPr>
        <w:t>附件，后文附录提供了临床服务类科室消化内科的科室经济运行报告。</w:t>
      </w:r>
    </w:p>
    <w:p w:rsidR="002C02E6" w:rsidRDefault="00C917C2">
      <w:pPr>
        <w:pStyle w:val="4"/>
        <w:ind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项目成本核算</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完成了</w:t>
      </w:r>
      <w:r>
        <w:rPr>
          <w:rFonts w:ascii="仿宋_GB2312" w:eastAsia="仿宋_GB2312" w:hint="eastAsia"/>
          <w:sz w:val="32"/>
          <w:szCs w:val="32"/>
        </w:rPr>
        <w:t>科室成本核算，继续在科室成本的基础上，运用管理会计工具方法-作业成本法核算科室的医疗服务项目成本。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《医院财务制度》第三十一条规定：医疗服务项目成本核算是以各科室开展的医疗服务项目为对象，归集和分配各项支出，计算出各项</w:t>
      </w:r>
      <w:proofErr w:type="gramStart"/>
      <w:r>
        <w:rPr>
          <w:rFonts w:ascii="仿宋_GB2312" w:eastAsia="仿宋_GB2312" w:hint="eastAsia"/>
          <w:sz w:val="32"/>
          <w:szCs w:val="32"/>
        </w:rPr>
        <w:t>目单位</w:t>
      </w:r>
      <w:proofErr w:type="gramEnd"/>
      <w:r>
        <w:rPr>
          <w:rFonts w:ascii="仿宋_GB2312" w:eastAsia="仿宋_GB2312" w:hint="eastAsia"/>
          <w:sz w:val="32"/>
          <w:szCs w:val="32"/>
        </w:rPr>
        <w:t>成本的过程。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核算办法是将临床服务类、医疗技术类和医疗辅助类科室的医疗成本向其提供的医疗服务项目进行归集和分摊，分摊参数可采用各项</w:t>
      </w:r>
      <w:proofErr w:type="gramStart"/>
      <w:r>
        <w:rPr>
          <w:rFonts w:ascii="仿宋_GB2312" w:eastAsia="仿宋_GB2312" w:hint="eastAsia"/>
          <w:sz w:val="32"/>
          <w:szCs w:val="32"/>
        </w:rPr>
        <w:t>目收入</w:t>
      </w:r>
      <w:proofErr w:type="gramEnd"/>
      <w:r>
        <w:rPr>
          <w:rFonts w:ascii="仿宋_GB2312" w:eastAsia="仿宋_GB2312" w:hint="eastAsia"/>
          <w:sz w:val="32"/>
          <w:szCs w:val="32"/>
        </w:rPr>
        <w:t>比、工作量等。</w:t>
      </w:r>
    </w:p>
    <w:p w:rsidR="002C02E6" w:rsidRDefault="00C917C2">
      <w:pPr>
        <w:numPr>
          <w:ilvl w:val="0"/>
          <w:numId w:val="10"/>
        </w:numPr>
        <w:spacing w:line="600" w:lineRule="exact"/>
        <w:ind w:left="0" w:firstLineChars="200" w:firstLine="640"/>
        <w:rPr>
          <w:rFonts w:ascii="仿宋_GB2312" w:eastAsia="仿宋_GB2312"/>
          <w:sz w:val="32"/>
          <w:szCs w:val="32"/>
        </w:rPr>
      </w:pPr>
      <w:r>
        <w:rPr>
          <w:rFonts w:ascii="仿宋_GB2312" w:eastAsia="仿宋_GB2312" w:hint="eastAsia"/>
          <w:sz w:val="32"/>
          <w:szCs w:val="32"/>
        </w:rPr>
        <w:t>项目成本核算的思路</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2015年，随着中国公立医院医疗卫生体制改革的逐步深入，由</w:t>
      </w:r>
      <w:proofErr w:type="gramStart"/>
      <w:r>
        <w:rPr>
          <w:rFonts w:ascii="仿宋_GB2312" w:eastAsia="仿宋_GB2312" w:hint="eastAsia"/>
          <w:sz w:val="32"/>
          <w:szCs w:val="32"/>
        </w:rPr>
        <w:t>国家发改委</w:t>
      </w:r>
      <w:proofErr w:type="gramEnd"/>
      <w:r>
        <w:rPr>
          <w:rFonts w:ascii="仿宋_GB2312" w:eastAsia="仿宋_GB2312" w:hint="eastAsia"/>
          <w:sz w:val="32"/>
          <w:szCs w:val="32"/>
        </w:rPr>
        <w:t>、卫计委、国家中医药管理局联合印发</w:t>
      </w:r>
      <w:proofErr w:type="gramStart"/>
      <w:r>
        <w:rPr>
          <w:rFonts w:ascii="仿宋_GB2312" w:eastAsia="仿宋_GB2312" w:hint="eastAsia"/>
          <w:sz w:val="32"/>
          <w:szCs w:val="32"/>
        </w:rPr>
        <w:t>《</w:t>
      </w:r>
      <w:proofErr w:type="gramEnd"/>
      <w:r>
        <w:rPr>
          <w:rFonts w:ascii="仿宋_GB2312" w:eastAsia="仿宋_GB2312" w:hint="eastAsia"/>
          <w:sz w:val="32"/>
          <w:szCs w:val="32"/>
        </w:rPr>
        <w:t>全国医疗服务价格项目规范（2012年版）简称</w:t>
      </w:r>
      <w:proofErr w:type="gramStart"/>
      <w:r>
        <w:rPr>
          <w:rFonts w:ascii="仿宋_GB2312" w:eastAsia="仿宋_GB2312" w:hint="eastAsia"/>
          <w:sz w:val="32"/>
          <w:szCs w:val="32"/>
        </w:rPr>
        <w:t>《</w:t>
      </w:r>
      <w:proofErr w:type="gramEnd"/>
      <w:r>
        <w:rPr>
          <w:rFonts w:ascii="仿宋_GB2312" w:eastAsia="仿宋_GB2312" w:hint="eastAsia"/>
          <w:sz w:val="32"/>
          <w:szCs w:val="32"/>
        </w:rPr>
        <w:t>规范</w:t>
      </w:r>
      <w:proofErr w:type="gramStart"/>
      <w:r>
        <w:rPr>
          <w:rFonts w:ascii="仿宋_GB2312" w:eastAsia="仿宋_GB2312" w:hint="eastAsia"/>
          <w:sz w:val="32"/>
          <w:szCs w:val="32"/>
        </w:rPr>
        <w:t>》》</w:t>
      </w:r>
      <w:proofErr w:type="gramEnd"/>
      <w:r>
        <w:rPr>
          <w:rFonts w:ascii="仿宋_GB2312" w:eastAsia="仿宋_GB2312" w:hint="eastAsia"/>
          <w:sz w:val="32"/>
          <w:szCs w:val="32"/>
        </w:rPr>
        <w:t>，它不仅是各级各类非营利性医疗卫生机构提供医疗服务时收取费用的依据，而且也是政府管理医疗服务价格的重要工具。</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规范》分为综合、诊断、治疗、康复、辅助操作和中医六大类，具体包括综合医疗服务、病理学诊断、实验室诊断、影像学诊断、临床诊断、临床手术治疗、临床非手术治疗、临床物理治疗、康复医疗、辅助操作和中医医疗服务等十一章。</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疗服务价格项目由项目编码、项目名称、项目内涵、除外内容、计价单位、计价说明六个要素构成。《规范》的出台，确定了“中央管项目、地方订价格”的原则，项目内容实现动态调整，价格由各地自主管理。医院根据项目确立的价格收费，项目成本核算用来核算每科室</w:t>
      </w:r>
      <w:proofErr w:type="gramStart"/>
      <w:r>
        <w:rPr>
          <w:rFonts w:ascii="仿宋_GB2312" w:eastAsia="仿宋_GB2312" w:hint="eastAsia"/>
          <w:sz w:val="32"/>
          <w:szCs w:val="32"/>
        </w:rPr>
        <w:t>每项目</w:t>
      </w:r>
      <w:proofErr w:type="gramEnd"/>
      <w:r>
        <w:rPr>
          <w:rFonts w:ascii="仿宋_GB2312" w:eastAsia="仿宋_GB2312" w:hint="eastAsia"/>
          <w:sz w:val="32"/>
          <w:szCs w:val="32"/>
        </w:rPr>
        <w:t xml:space="preserve">的成本。 </w:t>
      </w:r>
    </w:p>
    <w:p w:rsidR="002C02E6" w:rsidRDefault="00C917C2">
      <w:pPr>
        <w:spacing w:line="600" w:lineRule="exact"/>
        <w:ind w:firstLineChars="200" w:firstLine="640"/>
        <w:rPr>
          <w:rFonts w:ascii="仿宋_GB2312" w:eastAsia="仿宋_GB2312"/>
          <w:sz w:val="32"/>
          <w:szCs w:val="32"/>
        </w:rPr>
      </w:pPr>
      <w:bookmarkStart w:id="44" w:name="_Toc510947541"/>
      <w:r>
        <w:rPr>
          <w:rFonts w:ascii="仿宋_GB2312" w:eastAsia="仿宋_GB2312" w:hint="eastAsia"/>
          <w:sz w:val="32"/>
          <w:szCs w:val="32"/>
        </w:rPr>
        <w:t>《规范》的</w:t>
      </w:r>
      <w:bookmarkEnd w:id="44"/>
      <w:r>
        <w:rPr>
          <w:rFonts w:ascii="仿宋_GB2312" w:eastAsia="仿宋_GB2312" w:hint="eastAsia"/>
          <w:sz w:val="32"/>
          <w:szCs w:val="32"/>
        </w:rPr>
        <w:t>出台为项目成本核算提供了科学依据。体现了打包管理原则，对实施一个项目的所有操作和操作中使用的一次性医用耗材尽量包含在项目内涵中；突出了技术劳务的成本因素，增加了“基本人力消耗及耗时、技术难度、风险程度”等内容，</w:t>
      </w:r>
      <w:r>
        <w:rPr>
          <w:rFonts w:ascii="仿宋_GB2312" w:eastAsia="仿宋_GB2312" w:hint="eastAsia"/>
          <w:sz w:val="32"/>
          <w:szCs w:val="32"/>
        </w:rPr>
        <w:lastRenderedPageBreak/>
        <w:t>突出了技术劳务价值，为各地在总量控制、结构调整的原则下，合理调整医疗服务价格，体现医务人员技术劳务价值提供了依据；实现了医用耗材分类管理 ；引导检验走集约化发展道路 ；体现了规范行为的理念；适应信息化管理的需要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医疗服务项目成本核算是在科室成本核算的基础上，按照《2012版医疗服务价格项目规范》要求，将医院所有临床服务类、医疗技术类科室成本向所提供的医疗服务项目进行归集、分摊，最终得出各项</w:t>
      </w:r>
      <w:proofErr w:type="gramStart"/>
      <w:r>
        <w:rPr>
          <w:rFonts w:ascii="仿宋_GB2312" w:eastAsia="仿宋_GB2312" w:hint="eastAsia"/>
          <w:sz w:val="32"/>
          <w:szCs w:val="32"/>
        </w:rPr>
        <w:t>目单位</w:t>
      </w:r>
      <w:proofErr w:type="gramEnd"/>
      <w:r>
        <w:rPr>
          <w:rFonts w:ascii="仿宋_GB2312" w:eastAsia="仿宋_GB2312" w:hint="eastAsia"/>
          <w:sz w:val="32"/>
          <w:szCs w:val="32"/>
        </w:rPr>
        <w:t>成本的过程。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按照《医院财务制度》要求，是将临床服务类、医疗技术类和医疗辅助类科室的医疗成本向其提供的医疗服务项目进行归集和分摊，</w:t>
      </w:r>
      <w:proofErr w:type="gramStart"/>
      <w:r>
        <w:rPr>
          <w:rFonts w:ascii="仿宋_GB2312" w:eastAsia="仿宋_GB2312" w:hint="eastAsia"/>
          <w:sz w:val="32"/>
          <w:szCs w:val="32"/>
        </w:rPr>
        <w:t>故项目</w:t>
      </w:r>
      <w:proofErr w:type="gramEnd"/>
      <w:r>
        <w:rPr>
          <w:rFonts w:ascii="仿宋_GB2312" w:eastAsia="仿宋_GB2312" w:hint="eastAsia"/>
          <w:sz w:val="32"/>
          <w:szCs w:val="32"/>
        </w:rPr>
        <w:t>成本不应包含管理费用，其原因是采用企业上通行做法，管理费用作为期间费用一般都单独列示，不计入产品成本。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项目成本核算的方法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项目成本核算方法包括成本当量法、成本比例法和作业成本法三种方法：</w:t>
      </w:r>
    </w:p>
    <w:p w:rsidR="002C02E6" w:rsidRDefault="00C917C2">
      <w:pPr>
        <w:spacing w:line="600" w:lineRule="exact"/>
        <w:ind w:firstLineChars="200" w:firstLine="640"/>
        <w:rPr>
          <w:rFonts w:ascii="仿宋_GB2312" w:eastAsia="仿宋_GB2312"/>
          <w:sz w:val="32"/>
          <w:szCs w:val="32"/>
        </w:rPr>
      </w:pPr>
      <w:bookmarkStart w:id="45" w:name="_Toc510947545"/>
      <w:r>
        <w:rPr>
          <w:rFonts w:ascii="仿宋_GB2312" w:eastAsia="仿宋_GB2312" w:hint="eastAsia"/>
          <w:sz w:val="32"/>
          <w:szCs w:val="32"/>
        </w:rPr>
        <w:t>①成本当量法</w:t>
      </w:r>
      <w:bookmarkEnd w:id="45"/>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 xml:space="preserve">成本当量法是指首先核算代表项目成本，用代表项目成本和其他项目成本的相对值，即服务当量来推测未核算项目成本，从而进行成本核算的一种方法。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计算公式可以表示为：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某服务项目成本</w:t>
      </w:r>
      <w:r>
        <w:rPr>
          <w:rFonts w:ascii="仿宋_GB2312" w:eastAsia="仿宋_GB2312"/>
          <w:sz w:val="32"/>
          <w:szCs w:val="32"/>
        </w:rPr>
        <w:t>=</w:t>
      </w:r>
      <w:r>
        <w:rPr>
          <w:rFonts w:ascii="仿宋_GB2312" w:eastAsia="仿宋_GB2312" w:hint="eastAsia"/>
          <w:sz w:val="32"/>
          <w:szCs w:val="32"/>
        </w:rPr>
        <w:t xml:space="preserve">     </w:t>
      </w:r>
      <w:r>
        <w:rPr>
          <w:rFonts w:ascii="仿宋_GB2312" w:eastAsia="仿宋_GB2312"/>
          <w:sz w:val="32"/>
          <w:szCs w:val="32"/>
        </w:rPr>
        <w:tab/>
      </w:r>
      <w:r>
        <w:rPr>
          <w:rFonts w:ascii="仿宋_GB2312" w:eastAsia="仿宋_GB2312"/>
          <w:sz w:val="32"/>
          <w:szCs w:val="32"/>
        </w:rPr>
        <w:tab/>
      </w:r>
      <w:r>
        <w:rPr>
          <w:rFonts w:ascii="仿宋_GB2312" w:eastAsia="仿宋_GB2312"/>
          <w:sz w:val="32"/>
          <w:szCs w:val="32"/>
        </w:rPr>
        <w:tab/>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 xml:space="preserve">某服务项目成本当量 </w:t>
      </w:r>
      <w:r>
        <w:rPr>
          <w:rFonts w:ascii="仿宋_GB2312" w:eastAsia="仿宋_GB2312"/>
          <w:sz w:val="32"/>
          <w:szCs w:val="32"/>
        </w:rPr>
        <w:t xml:space="preserve"> </w:t>
      </w:r>
    </w:p>
    <w:p w:rsidR="002C02E6" w:rsidRDefault="00C917C2">
      <w:pPr>
        <w:spacing w:line="600" w:lineRule="exact"/>
        <w:ind w:firstLineChars="200" w:firstLine="640"/>
        <w:rPr>
          <w:rFonts w:ascii="仿宋_GB2312" w:eastAsia="仿宋_GB2312"/>
          <w:sz w:val="32"/>
          <w:szCs w:val="32"/>
        </w:rPr>
      </w:pPr>
      <w:r>
        <w:rPr>
          <w:rFonts w:ascii="仿宋_GB2312" w:eastAsia="仿宋_GB2312"/>
          <w:noProof/>
          <w:sz w:val="32"/>
          <w:szCs w:val="32"/>
        </w:rPr>
        <mc:AlternateContent>
          <mc:Choice Requires="wps">
            <w:drawing>
              <wp:anchor distT="0" distB="0" distL="114300" distR="114300" simplePos="0" relativeHeight="251650560" behindDoc="0" locked="0" layoutInCell="1" allowOverlap="1">
                <wp:simplePos x="0" y="0"/>
                <wp:positionH relativeFrom="column">
                  <wp:posOffset>447040</wp:posOffset>
                </wp:positionH>
                <wp:positionV relativeFrom="paragraph">
                  <wp:posOffset>53975</wp:posOffset>
                </wp:positionV>
                <wp:extent cx="2552700" cy="9525"/>
                <wp:effectExtent l="0" t="0" r="0" b="9525"/>
                <wp:wrapNone/>
                <wp:docPr id="5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52700" cy="95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7BFE0D32" id="_x0000_t34" coordsize="21600,21600" o:spt="34" o:oned="t" adj="10800" path="m,l@0,0@0,21600,21600,21600e" filled="f">
                <v:stroke joinstyle="miter"/>
                <v:formulas>
                  <v:f eqn="val #0"/>
                </v:formulas>
                <v:path arrowok="t" fillok="f" o:connecttype="none"/>
                <v:handles>
                  <v:h position="#0,center"/>
                </v:handles>
                <o:lock v:ext="edit" shapetype="t"/>
              </v:shapetype>
              <v:shape id=" 2" o:spid="_x0000_s1026" type="#_x0000_t34" style="position:absolute;left:0;text-align:left;margin-left:35.2pt;margin-top:4.25pt;width:201pt;height:.7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">
                <o:lock v:ext="edit" shapetype="f"/>
              </v:shape>
            </w:pict>
          </mc:Fallback>
        </mc:AlternateContent>
      </w:r>
      <w:r>
        <w:rPr>
          <w:rFonts w:ascii="仿宋_GB2312" w:eastAsia="仿宋_GB2312" w:hint="eastAsia"/>
          <w:sz w:val="32"/>
          <w:szCs w:val="32"/>
        </w:rPr>
        <w:t>Σ(该科室各项</w:t>
      </w:r>
      <w:proofErr w:type="gramStart"/>
      <w:r>
        <w:rPr>
          <w:rFonts w:ascii="仿宋_GB2312" w:eastAsia="仿宋_GB2312" w:hint="eastAsia"/>
          <w:sz w:val="32"/>
          <w:szCs w:val="32"/>
        </w:rPr>
        <w:t>目成本</w:t>
      </w:r>
      <w:proofErr w:type="gramEnd"/>
      <w:r>
        <w:rPr>
          <w:rFonts w:ascii="仿宋_GB2312" w:eastAsia="仿宋_GB2312" w:hint="eastAsia"/>
          <w:sz w:val="32"/>
          <w:szCs w:val="32"/>
        </w:rPr>
        <w:t>当量×服务例数) ×科室成本</w:t>
      </w:r>
    </w:p>
    <w:p w:rsidR="002C02E6" w:rsidRDefault="00C917C2">
      <w:pPr>
        <w:spacing w:line="600" w:lineRule="exact"/>
        <w:ind w:firstLineChars="200" w:firstLine="640"/>
        <w:rPr>
          <w:rFonts w:ascii="仿宋_GB2312" w:eastAsia="仿宋_GB2312"/>
          <w:sz w:val="32"/>
          <w:szCs w:val="32"/>
        </w:rPr>
      </w:pPr>
      <w:bookmarkStart w:id="46" w:name="_Toc510947546"/>
      <w:r>
        <w:rPr>
          <w:rFonts w:ascii="仿宋_GB2312" w:eastAsia="仿宋_GB2312" w:hint="eastAsia"/>
          <w:sz w:val="32"/>
          <w:szCs w:val="32"/>
        </w:rPr>
        <w:t>②成本比例系数法</w:t>
      </w:r>
      <w:bookmarkEnd w:id="46"/>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先将各种成本归集到各成本中心，然后将间接成本中心的成本分摊到直接成本中心，最后将直接成本中心的成本分摊到各服务项目。</w:t>
      </w:r>
      <w:r>
        <w:rPr>
          <w:rFonts w:ascii="仿宋_GB2312" w:eastAsia="仿宋_GB2312" w:hint="eastAsia"/>
          <w:sz w:val="32"/>
          <w:szCs w:val="32"/>
        </w:rPr>
        <w:t>成本分摊系数包括操作时间分配系数和工作量分配系数、收入分配系数等。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直接成本中心的成本分摊到各服务项目包括两种情况：一是可以直接计入各医疗项目成本，二是不能直接计入各医疗项目的成本，需按一定的成本分摊系数来进行分摊。计算公式为：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w:t>
      </w:r>
      <w:r>
        <w:rPr>
          <w:rFonts w:ascii="仿宋_GB2312" w:eastAsia="仿宋_GB2312"/>
          <w:sz w:val="32"/>
          <w:szCs w:val="32"/>
        </w:rPr>
        <w:t xml:space="preserve">= </w:t>
      </w:r>
      <w:r>
        <w:rPr>
          <w:rFonts w:ascii="仿宋_GB2312" w:eastAsia="仿宋_GB2312"/>
          <w:sz w:val="32"/>
          <w:szCs w:val="32"/>
        </w:rPr>
        <w:t>Σ</w:t>
      </w:r>
      <w:r>
        <w:rPr>
          <w:rFonts w:ascii="仿宋_GB2312" w:eastAsia="仿宋_GB2312" w:hint="eastAsia"/>
          <w:sz w:val="32"/>
          <w:szCs w:val="32"/>
        </w:rPr>
        <w:t>直接计入项目成本</w:t>
      </w:r>
      <w:r>
        <w:rPr>
          <w:rFonts w:ascii="仿宋_GB2312" w:eastAsia="仿宋_GB2312"/>
          <w:sz w:val="32"/>
          <w:szCs w:val="32"/>
        </w:rPr>
        <w:t xml:space="preserve">+ </w:t>
      </w:r>
      <w:r>
        <w:rPr>
          <w:rFonts w:ascii="仿宋_GB2312" w:eastAsia="仿宋_GB2312"/>
          <w:sz w:val="32"/>
          <w:szCs w:val="32"/>
        </w:rPr>
        <w:t>Σ</w:t>
      </w:r>
      <w:r>
        <w:rPr>
          <w:rFonts w:ascii="仿宋_GB2312" w:eastAsia="仿宋_GB2312" w:hint="eastAsia"/>
          <w:sz w:val="32"/>
          <w:szCs w:val="32"/>
        </w:rPr>
        <w:t>分摊计入项目成本</w:t>
      </w:r>
    </w:p>
    <w:p w:rsidR="002C02E6" w:rsidRDefault="00C917C2">
      <w:pPr>
        <w:spacing w:line="600" w:lineRule="exact"/>
        <w:ind w:firstLineChars="200" w:firstLine="640"/>
        <w:rPr>
          <w:rFonts w:ascii="仿宋_GB2312" w:eastAsia="仿宋_GB2312"/>
          <w:sz w:val="32"/>
          <w:szCs w:val="32"/>
        </w:rPr>
      </w:pPr>
      <w:bookmarkStart w:id="47" w:name="_Toc510947547"/>
      <w:r>
        <w:rPr>
          <w:rFonts w:ascii="仿宋_GB2312" w:eastAsia="仿宋_GB2312" w:hint="eastAsia"/>
          <w:sz w:val="32"/>
          <w:szCs w:val="32"/>
        </w:rPr>
        <w:t>③作业成本法</w:t>
      </w:r>
      <w:bookmarkEnd w:id="47"/>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是指企业或医院将资源费用准确分配到产品、服务等成本对象的一种成本计算方法。作业成本法的主要思想是</w:t>
      </w:r>
      <w:r>
        <w:rPr>
          <w:rFonts w:ascii="仿宋_GB2312" w:eastAsia="仿宋_GB2312"/>
          <w:sz w:val="32"/>
          <w:szCs w:val="32"/>
        </w:rPr>
        <w:t>“</w:t>
      </w:r>
      <w:r>
        <w:rPr>
          <w:rFonts w:ascii="仿宋_GB2312" w:eastAsia="仿宋_GB2312"/>
          <w:sz w:val="32"/>
          <w:szCs w:val="32"/>
        </w:rPr>
        <w:t>医疗项目消耗作业，作业消耗资源</w:t>
      </w:r>
      <w:r>
        <w:rPr>
          <w:rFonts w:ascii="仿宋_GB2312" w:eastAsia="仿宋_GB2312"/>
          <w:sz w:val="32"/>
          <w:szCs w:val="32"/>
        </w:rPr>
        <w:t>”</w:t>
      </w:r>
      <w:r>
        <w:rPr>
          <w:rFonts w:ascii="仿宋_GB2312" w:eastAsia="仿宋_GB2312"/>
          <w:sz w:val="32"/>
          <w:szCs w:val="32"/>
        </w:rPr>
        <w:t>。作业成本法在医院中的应用即是把各医疗科室成本(</w:t>
      </w:r>
      <w:r>
        <w:rPr>
          <w:rFonts w:ascii="仿宋_GB2312" w:eastAsia="仿宋_GB2312" w:hint="eastAsia"/>
          <w:sz w:val="32"/>
          <w:szCs w:val="32"/>
        </w:rPr>
        <w:t>资源</w:t>
      </w:r>
      <w:r>
        <w:rPr>
          <w:rFonts w:ascii="仿宋_GB2312" w:eastAsia="仿宋_GB2312"/>
          <w:sz w:val="32"/>
          <w:szCs w:val="32"/>
        </w:rPr>
        <w:t>)</w:t>
      </w:r>
      <w:r>
        <w:rPr>
          <w:rFonts w:ascii="仿宋_GB2312" w:eastAsia="仿宋_GB2312" w:hint="eastAsia"/>
          <w:sz w:val="32"/>
          <w:szCs w:val="32"/>
        </w:rPr>
        <w:t>按照资源动因分配到作业中，以及把作业成本按照作业动因分配到医疗项目</w:t>
      </w:r>
      <w:r>
        <w:rPr>
          <w:rFonts w:ascii="仿宋_GB2312" w:eastAsia="仿宋_GB2312"/>
          <w:sz w:val="32"/>
          <w:szCs w:val="32"/>
        </w:rPr>
        <w:t>(</w:t>
      </w:r>
      <w:r>
        <w:rPr>
          <w:rFonts w:ascii="仿宋_GB2312" w:eastAsia="仿宋_GB2312" w:hint="eastAsia"/>
          <w:sz w:val="32"/>
          <w:szCs w:val="32"/>
        </w:rPr>
        <w:t>产品</w:t>
      </w:r>
      <w:r>
        <w:rPr>
          <w:rFonts w:ascii="仿宋_GB2312" w:eastAsia="仿宋_GB2312"/>
          <w:sz w:val="32"/>
          <w:szCs w:val="32"/>
        </w:rPr>
        <w:t>)</w:t>
      </w:r>
      <w:r>
        <w:rPr>
          <w:rFonts w:ascii="仿宋_GB2312" w:eastAsia="仿宋_GB2312" w:hint="eastAsia"/>
          <w:sz w:val="32"/>
          <w:szCs w:val="32"/>
        </w:rPr>
        <w:t>中的核算方法。要了解作业成本法，需要了解成本动因、资源动因和作业动因。</w:t>
      </w:r>
    </w:p>
    <w:p w:rsidR="002C02E6" w:rsidRDefault="00C917C2">
      <w:pPr>
        <w:spacing w:line="600" w:lineRule="exact"/>
        <w:ind w:firstLineChars="200" w:firstLine="640"/>
        <w:rPr>
          <w:rFonts w:ascii="仿宋_GB2312" w:eastAsia="仿宋_GB2312"/>
          <w:sz w:val="32"/>
          <w:szCs w:val="32"/>
        </w:rPr>
      </w:pPr>
      <w:bookmarkStart w:id="48" w:name="_Toc510947548"/>
      <w:r>
        <w:rPr>
          <w:rFonts w:ascii="仿宋_GB2312" w:eastAsia="仿宋_GB2312" w:hint="eastAsia"/>
          <w:sz w:val="32"/>
          <w:szCs w:val="32"/>
        </w:rPr>
        <w:t>a成本动因</w:t>
      </w:r>
      <w:bookmarkEnd w:id="4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成本动因是成本发生的原因，是成本对象与其直接关联的作业和最终关联的资源之间的中介。按其在资源流动中所处的位置和作用，成本动因可分为资源动因和作业动因。</w:t>
      </w:r>
      <w:r>
        <w:rPr>
          <w:rFonts w:ascii="仿宋_GB2312" w:eastAsia="仿宋_GB2312"/>
          <w:sz w:val="32"/>
          <w:szCs w:val="32"/>
        </w:rPr>
        <w:t xml:space="preserve"> </w:t>
      </w:r>
    </w:p>
    <w:p w:rsidR="002C02E6" w:rsidRDefault="00C917C2">
      <w:pPr>
        <w:spacing w:line="600" w:lineRule="exact"/>
        <w:ind w:firstLineChars="200" w:firstLine="640"/>
        <w:rPr>
          <w:rFonts w:ascii="仿宋_GB2312" w:eastAsia="仿宋_GB2312"/>
          <w:sz w:val="32"/>
          <w:szCs w:val="32"/>
        </w:rPr>
      </w:pPr>
      <w:bookmarkStart w:id="49" w:name="_Toc510947549"/>
      <w:r>
        <w:rPr>
          <w:rFonts w:ascii="仿宋_GB2312" w:eastAsia="仿宋_GB2312" w:hint="eastAsia"/>
          <w:sz w:val="32"/>
          <w:szCs w:val="32"/>
        </w:rPr>
        <w:lastRenderedPageBreak/>
        <w:t>b资源动因</w:t>
      </w:r>
      <w:bookmarkEnd w:id="49"/>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引起资源发生变动的原因。一项作业所消耗资源的种类与数量因素，反映了作业量与资源消耗之间的因果关系。医院</w:t>
      </w:r>
      <w:proofErr w:type="gramStart"/>
      <w:r>
        <w:rPr>
          <w:rFonts w:ascii="仿宋_GB2312" w:eastAsia="仿宋_GB2312" w:hint="eastAsia"/>
          <w:sz w:val="32"/>
          <w:szCs w:val="32"/>
        </w:rPr>
        <w:t>里资源</w:t>
      </w:r>
      <w:proofErr w:type="gramEnd"/>
      <w:r>
        <w:rPr>
          <w:rFonts w:ascii="仿宋_GB2312" w:eastAsia="仿宋_GB2312" w:hint="eastAsia"/>
          <w:sz w:val="32"/>
          <w:szCs w:val="32"/>
        </w:rPr>
        <w:t>动因即指各医疗或医技的科室成本向作业分配的依据。当一项资源只服务于一种作业时，分配成本到作业就比较简单。当一项资源服务于多个作业时，就必须通过资源动因来把资源的消耗分配给相应的作业。</w:t>
      </w:r>
    </w:p>
    <w:p w:rsidR="002C02E6" w:rsidRDefault="00C917C2">
      <w:pPr>
        <w:spacing w:line="600" w:lineRule="exact"/>
        <w:ind w:firstLineChars="200" w:firstLine="640"/>
        <w:rPr>
          <w:rFonts w:ascii="仿宋_GB2312" w:eastAsia="仿宋_GB2312"/>
          <w:sz w:val="32"/>
          <w:szCs w:val="32"/>
        </w:rPr>
      </w:pPr>
      <w:bookmarkStart w:id="50" w:name="_Toc510947550"/>
      <w:r>
        <w:rPr>
          <w:rFonts w:ascii="仿宋_GB2312" w:eastAsia="仿宋_GB2312" w:hint="eastAsia"/>
          <w:sz w:val="32"/>
          <w:szCs w:val="32"/>
        </w:rPr>
        <w:t>c作业动因</w:t>
      </w:r>
      <w:bookmarkEnd w:id="5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引起作业发生变动的原因。决定成本目标所需作业种类与数量的因素，反映成本目标使用作业的频率和强度。在医院里作业动因即指各项作业成本向医疗项目分配的依据。</w:t>
      </w:r>
      <w:r>
        <w:rPr>
          <w:rFonts w:ascii="仿宋_GB2312" w:eastAsia="仿宋_GB2312"/>
          <w:sz w:val="32"/>
          <w:szCs w:val="32"/>
        </w:rPr>
        <w:t xml:space="preserve"> </w:t>
      </w:r>
    </w:p>
    <w:p w:rsidR="002C02E6" w:rsidRDefault="00C917C2">
      <w:pPr>
        <w:spacing w:line="600" w:lineRule="exact"/>
        <w:ind w:firstLineChars="200" w:firstLine="640"/>
        <w:rPr>
          <w:rFonts w:ascii="仿宋_GB2312" w:eastAsia="仿宋_GB2312"/>
          <w:sz w:val="32"/>
          <w:szCs w:val="32"/>
        </w:rPr>
      </w:pPr>
      <w:bookmarkStart w:id="51" w:name="_Toc510947551"/>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项目成本核算的流程</w:t>
      </w:r>
    </w:p>
    <w:bookmarkEnd w:id="51"/>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项目成本因为其复杂性，在全国开展的不多，即使开展的大多也不理想。要实现完美项目成本核算，首先要设计一套完善的项目成本核算体系，我们采用了作业成本法，按步骤按作业对项目成本进行采集与计算。</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按照制度要求，项目成本核算是把临床服务类、医疗技术类和医疗辅助类科室的成本向其提供的医疗服务项目进行归集和分摊，包括人员经费、卫生材料费、药品费、固定资产折旧费、无形资产摊销费和其他费用成本，重点核算项目的用人成本、不收费卫生材料和设备折旧费，其他成本可采用一定的方法进行分摊。</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项目成本= =</w:t>
      </w:r>
      <w:r>
        <w:rPr>
          <w:rFonts w:ascii="仿宋_GB2312" w:eastAsia="仿宋_GB2312"/>
          <w:sz w:val="32"/>
          <w:szCs w:val="32"/>
        </w:rPr>
        <w:t>∑</w:t>
      </w:r>
      <w:r>
        <w:rPr>
          <w:rFonts w:ascii="仿宋_GB2312" w:eastAsia="仿宋_GB2312"/>
          <w:sz w:val="32"/>
          <w:szCs w:val="32"/>
        </w:rPr>
        <w:t>直接计入项目的成本</w:t>
      </w:r>
      <w:r>
        <w:rPr>
          <w:rFonts w:ascii="仿宋_GB2312" w:eastAsia="仿宋_GB2312" w:hint="eastAsia"/>
          <w:sz w:val="32"/>
          <w:szCs w:val="32"/>
        </w:rPr>
        <w:t xml:space="preserve"> +</w:t>
      </w:r>
      <w:r>
        <w:rPr>
          <w:rFonts w:ascii="仿宋_GB2312" w:eastAsia="仿宋_GB2312"/>
          <w:sz w:val="32"/>
          <w:szCs w:val="32"/>
        </w:rPr>
        <w:t>∑</w:t>
      </w:r>
      <w:r>
        <w:rPr>
          <w:rFonts w:ascii="仿宋_GB2312" w:eastAsia="仿宋_GB2312"/>
          <w:sz w:val="32"/>
          <w:szCs w:val="32"/>
        </w:rPr>
        <w:t>分摊计</w:t>
      </w:r>
      <w:r>
        <w:rPr>
          <w:rFonts w:ascii="仿宋_GB2312" w:eastAsia="仿宋_GB2312" w:hint="eastAsia"/>
          <w:sz w:val="32"/>
          <w:szCs w:val="32"/>
        </w:rPr>
        <w:t>入项目的成本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直接计入项目的成本</w:t>
      </w:r>
      <w:r>
        <w:rPr>
          <w:rFonts w:ascii="仿宋_GB2312" w:eastAsia="仿宋_GB2312" w:hint="eastAsia"/>
          <w:sz w:val="32"/>
          <w:szCs w:val="32"/>
        </w:rPr>
        <w:t>主要包括能够明确区分计入的不收费药品成本、不收费卫生材料成本和固定资产折旧成本。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分摊计入的项目成本包括分摊的人员经费、不能明确区分的不收费卫生材料费、不收费药品费、固定资产折旧费、无形资产摊销费、医疗风险基金和其他费用。</w:t>
      </w:r>
    </w:p>
    <w:p w:rsidR="002C02E6" w:rsidRDefault="00C917C2">
      <w:pPr>
        <w:spacing w:line="600" w:lineRule="exact"/>
        <w:ind w:firstLineChars="200" w:firstLine="640"/>
        <w:rPr>
          <w:rFonts w:ascii="仿宋_GB2312" w:eastAsia="仿宋_GB2312"/>
          <w:sz w:val="32"/>
          <w:szCs w:val="32"/>
        </w:rPr>
      </w:pPr>
      <w:bookmarkStart w:id="52" w:name="_Toc510947552"/>
      <w:r>
        <w:rPr>
          <w:rFonts w:ascii="仿宋_GB2312" w:eastAsia="仿宋_GB2312" w:hint="eastAsia"/>
          <w:sz w:val="32"/>
          <w:szCs w:val="32"/>
        </w:rPr>
        <w:t>①数据采集</w:t>
      </w:r>
      <w:bookmarkEnd w:id="52"/>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数据采集是</w:t>
      </w:r>
      <w:r>
        <w:rPr>
          <w:rFonts w:ascii="仿宋_GB2312" w:eastAsia="仿宋_GB2312" w:hint="eastAsia"/>
          <w:sz w:val="32"/>
          <w:szCs w:val="32"/>
        </w:rPr>
        <w:t>把某会计期间科室开展的项目数据、领用的卫生材料、计提的固定资产折旧采集到项目成本核算系统中，最终归集到医疗服务项目上，主要包括采集项目开展工作量、采集科室领用卫生材料、采集科室固定资产折旧等，如图所示：</w:t>
      </w:r>
    </w:p>
    <w:p w:rsidR="002C02E6" w:rsidRDefault="00C917C2">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6704" behindDoc="1" locked="0" layoutInCell="1" allowOverlap="1">
            <wp:simplePos x="0" y="0"/>
            <wp:positionH relativeFrom="column">
              <wp:posOffset>403225</wp:posOffset>
            </wp:positionH>
            <wp:positionV relativeFrom="paragraph">
              <wp:posOffset>-1321435</wp:posOffset>
            </wp:positionV>
            <wp:extent cx="5276850" cy="1628775"/>
            <wp:effectExtent l="0" t="0" r="0" b="0"/>
            <wp:wrapTight wrapText="bothSides">
              <wp:wrapPolygon edited="0">
                <wp:start x="0" y="0"/>
                <wp:lineTo x="0" y="21474"/>
                <wp:lineTo x="21522" y="21474"/>
                <wp:lineTo x="21522" y="0"/>
                <wp:lineTo x="0" y="0"/>
              </wp:wrapPolygon>
            </wp:wrapTight>
            <wp:docPr id="5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6287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3" w:name="_Toc510947553"/>
      <w:r>
        <w:rPr>
          <w:rFonts w:ascii="仿宋_GB2312" w:eastAsia="仿宋_GB2312" w:hint="eastAsia"/>
          <w:sz w:val="32"/>
          <w:szCs w:val="32"/>
        </w:rPr>
        <w:t>a采集收费项目收入</w:t>
      </w:r>
      <w:bookmarkEnd w:id="5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收费项目收入即科室开展项目的工作量，是收费项目某会计期间的发生额，从His系统中采集，按执行科室汇总，如图所示：</w:t>
      </w:r>
    </w:p>
    <w:p w:rsidR="002C02E6" w:rsidRDefault="00C917C2">
      <w:pPr>
        <w:spacing w:line="600" w:lineRule="exact"/>
        <w:ind w:firstLineChars="200" w:firstLine="420"/>
        <w:rPr>
          <w:rFonts w:ascii="仿宋_GB2312" w:eastAsia="仿宋_GB2312"/>
          <w:sz w:val="32"/>
          <w:szCs w:val="32"/>
        </w:rPr>
      </w:pPr>
      <w:r>
        <w:rPr>
          <w:noProof/>
        </w:rPr>
        <w:lastRenderedPageBreak/>
        <w:drawing>
          <wp:anchor distT="0" distB="0" distL="114300" distR="114300" simplePos="0" relativeHeight="251671040" behindDoc="1" locked="0" layoutInCell="1" allowOverlap="1">
            <wp:simplePos x="0" y="0"/>
            <wp:positionH relativeFrom="column">
              <wp:posOffset>295275</wp:posOffset>
            </wp:positionH>
            <wp:positionV relativeFrom="paragraph">
              <wp:posOffset>381000</wp:posOffset>
            </wp:positionV>
            <wp:extent cx="5281930" cy="2691130"/>
            <wp:effectExtent l="0" t="0" r="0" b="0"/>
            <wp:wrapTight wrapText="bothSides">
              <wp:wrapPolygon edited="0">
                <wp:start x="0" y="0"/>
                <wp:lineTo x="0" y="21406"/>
                <wp:lineTo x="21501" y="21406"/>
                <wp:lineTo x="21501" y="0"/>
                <wp:lineTo x="0" y="0"/>
              </wp:wrapPolygon>
            </wp:wrapTight>
            <wp:docPr id="5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193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数据采集按月开展，可区分门诊和住院，包括项目开单科室、执行科室、病人科室、数量和金额等，要注意项目成本会在执行科室开展的项目中分配，和病人科室没有关系。</w:t>
      </w:r>
    </w:p>
    <w:p w:rsidR="002C02E6" w:rsidRDefault="00C917C2">
      <w:pPr>
        <w:spacing w:line="600" w:lineRule="exact"/>
        <w:ind w:firstLineChars="200" w:firstLine="640"/>
        <w:rPr>
          <w:rFonts w:ascii="仿宋_GB2312" w:eastAsia="仿宋_GB2312"/>
          <w:bCs/>
          <w:sz w:val="32"/>
          <w:szCs w:val="32"/>
        </w:rPr>
      </w:pPr>
      <w:bookmarkStart w:id="54" w:name="_Toc510947554"/>
      <w:r>
        <w:rPr>
          <w:rFonts w:ascii="仿宋_GB2312" w:eastAsia="仿宋_GB2312" w:hint="eastAsia"/>
          <w:bCs/>
          <w:sz w:val="32"/>
          <w:szCs w:val="32"/>
        </w:rPr>
        <w:t>b采集物资领用数据</w:t>
      </w:r>
      <w:bookmarkEnd w:id="54"/>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75136" behindDoc="1" locked="0" layoutInCell="1" allowOverlap="1">
            <wp:simplePos x="0" y="0"/>
            <wp:positionH relativeFrom="column">
              <wp:posOffset>418465</wp:posOffset>
            </wp:positionH>
            <wp:positionV relativeFrom="paragraph">
              <wp:posOffset>1213485</wp:posOffset>
            </wp:positionV>
            <wp:extent cx="5076825" cy="2733675"/>
            <wp:effectExtent l="0" t="0" r="9525" b="9525"/>
            <wp:wrapTight wrapText="bothSides">
              <wp:wrapPolygon edited="0">
                <wp:start x="0" y="0"/>
                <wp:lineTo x="0" y="21525"/>
                <wp:lineTo x="21559" y="21525"/>
                <wp:lineTo x="21559" y="0"/>
                <wp:lineTo x="0" y="0"/>
              </wp:wrapPolygon>
            </wp:wrapTight>
            <wp:docPr id="5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68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采集各科室从物资仓库领用的卫生材料、低值易耗品、其他材料等物资，计算开展项目成本。数据采集包括查询和采集两个环节，如图所示：</w:t>
      </w:r>
    </w:p>
    <w:p w:rsidR="002C02E6" w:rsidRDefault="00C917C2">
      <w:pPr>
        <w:spacing w:line="600" w:lineRule="exact"/>
        <w:ind w:firstLineChars="200" w:firstLine="640"/>
        <w:rPr>
          <w:rFonts w:ascii="仿宋_GB2312" w:eastAsia="仿宋_GB2312"/>
          <w:bCs/>
          <w:sz w:val="32"/>
          <w:szCs w:val="32"/>
        </w:rPr>
      </w:pPr>
      <w:bookmarkStart w:id="55" w:name="_Toc510947555"/>
      <w:r>
        <w:rPr>
          <w:rFonts w:ascii="仿宋_GB2312" w:eastAsia="仿宋_GB2312" w:hint="eastAsia"/>
          <w:bCs/>
          <w:sz w:val="32"/>
          <w:szCs w:val="32"/>
        </w:rPr>
        <w:lastRenderedPageBreak/>
        <w:t>c采集设备折旧（固定资产折旧）数据</w:t>
      </w:r>
      <w:bookmarkEnd w:id="55"/>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54656" behindDoc="1" locked="0" layoutInCell="1" allowOverlap="1">
            <wp:simplePos x="0" y="0"/>
            <wp:positionH relativeFrom="column">
              <wp:posOffset>241300</wp:posOffset>
            </wp:positionH>
            <wp:positionV relativeFrom="paragraph">
              <wp:posOffset>2819400</wp:posOffset>
            </wp:positionV>
            <wp:extent cx="5272405" cy="3100705"/>
            <wp:effectExtent l="0" t="0" r="0" b="0"/>
            <wp:wrapTight wrapText="bothSides">
              <wp:wrapPolygon edited="0">
                <wp:start x="0" y="0"/>
                <wp:lineTo x="0" y="21498"/>
                <wp:lineTo x="21540" y="21498"/>
                <wp:lineTo x="21540" y="0"/>
                <wp:lineTo x="0" y="0"/>
              </wp:wrapPolygon>
            </wp:wrapTight>
            <wp:docPr id="4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设备折旧是执行科室医疗设备按月计提的折旧，在计算项目成本时，需要将项目和使用的设备相关联，折旧信息要计入开展的医疗服务项目，每月的折旧</w:t>
      </w:r>
      <w:proofErr w:type="gramStart"/>
      <w:r>
        <w:rPr>
          <w:rFonts w:ascii="仿宋_GB2312" w:eastAsia="仿宋_GB2312" w:hint="eastAsia"/>
          <w:sz w:val="32"/>
          <w:szCs w:val="32"/>
        </w:rPr>
        <w:t>额相对</w:t>
      </w:r>
      <w:proofErr w:type="gramEnd"/>
      <w:r>
        <w:rPr>
          <w:rFonts w:ascii="仿宋_GB2312" w:eastAsia="仿宋_GB2312" w:hint="eastAsia"/>
          <w:sz w:val="32"/>
          <w:szCs w:val="32"/>
        </w:rPr>
        <w:t>固定，使用某种设备开展的医疗服务项目数量越多，分摊的单位项目折旧成本越低，相反开展项目数量越少，分摊的项目折旧越多，因此，通过项目成本的核算可以判断购买的医疗设备是否处于使用饱和或闲置状况。如图所示：</w:t>
      </w:r>
    </w:p>
    <w:p w:rsidR="002C02E6" w:rsidRDefault="00C917C2">
      <w:pPr>
        <w:spacing w:line="600" w:lineRule="exact"/>
        <w:ind w:firstLineChars="200" w:firstLine="640"/>
        <w:rPr>
          <w:rFonts w:ascii="仿宋_GB2312" w:eastAsia="仿宋_GB2312"/>
          <w:bCs/>
          <w:sz w:val="32"/>
          <w:szCs w:val="32"/>
        </w:rPr>
      </w:pPr>
      <w:bookmarkStart w:id="56" w:name="_Toc510947556"/>
      <w:r>
        <w:rPr>
          <w:rFonts w:ascii="仿宋_GB2312" w:eastAsia="仿宋_GB2312" w:hint="eastAsia"/>
          <w:bCs/>
          <w:sz w:val="32"/>
          <w:szCs w:val="32"/>
        </w:rPr>
        <w:t>d采集其他数据</w:t>
      </w:r>
      <w:bookmarkEnd w:id="56"/>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一些数据也可以采集，例如人员薪酬数据，为了精细化核算人员支出，一般可核算每个职称人员的工资或将不同职称人员折合成可以比较的系数。后文详细描述。</w:t>
      </w:r>
    </w:p>
    <w:p w:rsidR="002C02E6" w:rsidRDefault="00C917C2">
      <w:pPr>
        <w:spacing w:line="600" w:lineRule="exact"/>
        <w:ind w:firstLineChars="200" w:firstLine="640"/>
        <w:rPr>
          <w:rFonts w:ascii="仿宋_GB2312" w:eastAsia="仿宋_GB2312"/>
          <w:sz w:val="32"/>
          <w:szCs w:val="32"/>
        </w:rPr>
      </w:pPr>
      <w:bookmarkStart w:id="57" w:name="_Toc510947557"/>
      <w:r>
        <w:rPr>
          <w:rFonts w:ascii="仿宋_GB2312" w:eastAsia="仿宋_GB2312" w:hint="eastAsia"/>
          <w:bCs/>
          <w:sz w:val="32"/>
          <w:szCs w:val="32"/>
        </w:rPr>
        <w:t>②作业成本法应用-设置科室项目作业与作业动因</w:t>
      </w:r>
      <w:bookmarkEnd w:id="5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医疗服务项目成本核算需要核算项目开展过程中耗用的人员费用、不收费卫生材料、使用的设备等信息，为了提高计算的准确性，我们采用了作业成本法。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作业成本法主要用于对人员费用的归集，对使用的卫生材料和固定资产核算到作业意义不大，一般直接归集到医疗服务项目，不在进一步归集到作业。</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规范》将医疗服务项目分为综合、诊断、治疗、康复、辅助操作和中医六大类，具体包括综合医疗服务、病理学诊断、实验室诊断、影像学诊断、临床诊断、临床手术治疗、临床非手术治疗、临床物理治疗、康复医疗、辅助操作和中医医疗服务等十一类。</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一般每一类项目有着相同的</w:t>
      </w:r>
      <w:proofErr w:type="gramStart"/>
      <w:r>
        <w:rPr>
          <w:rFonts w:ascii="仿宋_GB2312" w:eastAsia="仿宋_GB2312" w:hint="eastAsia"/>
          <w:sz w:val="32"/>
          <w:szCs w:val="32"/>
        </w:rPr>
        <w:t>的</w:t>
      </w:r>
      <w:proofErr w:type="gramEnd"/>
      <w:r>
        <w:rPr>
          <w:rFonts w:ascii="仿宋_GB2312" w:eastAsia="仿宋_GB2312" w:hint="eastAsia"/>
          <w:sz w:val="32"/>
          <w:szCs w:val="32"/>
        </w:rPr>
        <w:t>作业，作业即项目开展过程中的工作步骤，例如检查类项目中CT、核磁共振一般都分为登记、检查、影像处理、出报告四个阶段，作业的划分要考虑核算的难易程度，实际核算过程中，为降低核算的难度，有的作业不宜过细，甚至有的项目也可以合并为一个作业。</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这是一个项目“</w:t>
      </w:r>
      <w:hyperlink r:id="rId21" w:history="1">
        <w:r>
          <w:rPr>
            <w:rFonts w:ascii="仿宋_GB2312" w:eastAsia="仿宋_GB2312"/>
            <w:sz w:val="32"/>
            <w:szCs w:val="32"/>
          </w:rPr>
          <w:t>耳部X线计算机体层(CT)平扫</w:t>
        </w:r>
      </w:hyperlink>
      <w:r>
        <w:rPr>
          <w:rFonts w:ascii="仿宋_GB2312" w:eastAsia="仿宋_GB2312" w:hint="eastAsia"/>
          <w:sz w:val="32"/>
          <w:szCs w:val="32"/>
        </w:rPr>
        <w:t>”耗用人员工时情况，将该项目设为三个作业：登记、开展检查和出报告，每个作业设计了耗用的人员和工时。</w:t>
      </w:r>
    </w:p>
    <w:p w:rsidR="002C02E6" w:rsidRDefault="00C917C2">
      <w:pPr>
        <w:spacing w:line="600" w:lineRule="exact"/>
        <w:ind w:firstLineChars="300" w:firstLine="630"/>
        <w:rPr>
          <w:rFonts w:ascii="仿宋_GB2312" w:eastAsia="仿宋_GB2312"/>
          <w:sz w:val="32"/>
          <w:szCs w:val="32"/>
        </w:rPr>
      </w:pPr>
      <w:r>
        <w:rPr>
          <w:noProof/>
        </w:rPr>
        <w:lastRenderedPageBreak/>
        <w:drawing>
          <wp:anchor distT="0" distB="0" distL="114300" distR="114300" simplePos="0" relativeHeight="251653632" behindDoc="1" locked="0" layoutInCell="1" allowOverlap="1">
            <wp:simplePos x="0" y="0"/>
            <wp:positionH relativeFrom="column">
              <wp:posOffset>403225</wp:posOffset>
            </wp:positionH>
            <wp:positionV relativeFrom="paragraph">
              <wp:posOffset>-842645</wp:posOffset>
            </wp:positionV>
            <wp:extent cx="5272405" cy="1148080"/>
            <wp:effectExtent l="0" t="0" r="0" b="0"/>
            <wp:wrapTight wrapText="bothSides">
              <wp:wrapPolygon edited="0">
                <wp:start x="0" y="0"/>
                <wp:lineTo x="0" y="21146"/>
                <wp:lineTo x="21540" y="21146"/>
                <wp:lineTo x="21540" y="0"/>
                <wp:lineTo x="0" y="0"/>
              </wp:wrapPolygon>
            </wp:wrapTight>
            <wp:docPr id="48"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405" cy="1148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 w:name="_Toc510947558"/>
      <w:r>
        <w:rPr>
          <w:rFonts w:ascii="仿宋_GB2312" w:eastAsia="仿宋_GB2312" w:hint="eastAsia"/>
          <w:sz w:val="32"/>
          <w:szCs w:val="32"/>
        </w:rPr>
        <w:t>a人员费用分摊</w:t>
      </w:r>
      <w:bookmarkEnd w:id="5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项目人员费分摊包括两种方法，第一种方法是按职称归集科室中人员费用总额，计算单位人员薪酬额，根据项目耗用的工时计算项目用人成本；另一种方法折合成一个共同的比较标准-</w:t>
      </w:r>
      <w:r>
        <w:rPr>
          <w:rFonts w:ascii="仿宋_GB2312" w:eastAsia="仿宋_GB2312"/>
          <w:sz w:val="32"/>
          <w:szCs w:val="32"/>
        </w:rPr>
        <w:t>人员经费分配系数</w:t>
      </w:r>
      <w:r>
        <w:rPr>
          <w:rFonts w:ascii="仿宋_GB2312" w:eastAsia="仿宋_GB2312" w:hint="eastAsia"/>
          <w:sz w:val="32"/>
          <w:szCs w:val="32"/>
        </w:rPr>
        <w:t>，能够简化人员费用的计算。</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人员经费分配系数</w:t>
      </w:r>
      <w:r>
        <w:rPr>
          <w:rFonts w:ascii="仿宋_GB2312" w:eastAsia="仿宋_GB2312" w:hint="eastAsia"/>
          <w:sz w:val="32"/>
          <w:szCs w:val="32"/>
        </w:rPr>
        <w:t>设计按作业步骤确定，设计不同职称人员的系数，结合《2012版医疗服务价格项目规范》，可借鉴医疗服务项目的技术难度和风险程度进行。做法为：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第一，将人员分类：人员按职称不同划分</w:t>
      </w:r>
      <w:r>
        <w:rPr>
          <w:rFonts w:ascii="仿宋_GB2312" w:eastAsia="仿宋_GB2312"/>
          <w:sz w:val="32"/>
          <w:szCs w:val="32"/>
        </w:rPr>
        <w:t>为正高、副高、中级、助理级、初级五种等级，</w:t>
      </w:r>
      <w:r>
        <w:rPr>
          <w:rFonts w:ascii="仿宋_GB2312" w:eastAsia="仿宋_GB2312" w:hint="eastAsia"/>
          <w:sz w:val="32"/>
          <w:szCs w:val="32"/>
        </w:rPr>
        <w:t>也可以赋以不同系数（可根据年度不同职称平均薪酬的比值确定，台湾医院应用较多），根据</w:t>
      </w:r>
      <w:r>
        <w:rPr>
          <w:rFonts w:ascii="仿宋_GB2312" w:eastAsia="仿宋_GB2312"/>
          <w:sz w:val="32"/>
          <w:szCs w:val="32"/>
        </w:rPr>
        <w:t>管理需要确定</w:t>
      </w:r>
      <w:r>
        <w:rPr>
          <w:rFonts w:ascii="仿宋_GB2312" w:eastAsia="仿宋_GB2312" w:hint="eastAsia"/>
          <w:sz w:val="32"/>
          <w:szCs w:val="32"/>
        </w:rPr>
        <w:t>。假如人员系数设为</w:t>
      </w:r>
      <w:r>
        <w:rPr>
          <w:rFonts w:ascii="仿宋_GB2312" w:eastAsia="仿宋_GB2312"/>
          <w:sz w:val="32"/>
          <w:szCs w:val="32"/>
        </w:rPr>
        <w:t>正高1</w:t>
      </w:r>
      <w:r>
        <w:rPr>
          <w:rFonts w:ascii="仿宋_GB2312" w:eastAsia="仿宋_GB2312" w:hint="eastAsia"/>
          <w:sz w:val="32"/>
          <w:szCs w:val="32"/>
        </w:rPr>
        <w:t>.</w:t>
      </w:r>
      <w:r>
        <w:rPr>
          <w:rFonts w:ascii="仿宋_GB2312" w:eastAsia="仿宋_GB2312"/>
          <w:sz w:val="32"/>
          <w:szCs w:val="32"/>
        </w:rPr>
        <w:t>5、副高1</w:t>
      </w:r>
      <w:r>
        <w:rPr>
          <w:rFonts w:ascii="仿宋_GB2312" w:eastAsia="仿宋_GB2312" w:hint="eastAsia"/>
          <w:sz w:val="32"/>
          <w:szCs w:val="32"/>
        </w:rPr>
        <w:t>.3</w:t>
      </w:r>
      <w:r>
        <w:rPr>
          <w:rFonts w:ascii="仿宋_GB2312" w:eastAsia="仿宋_GB2312"/>
          <w:sz w:val="32"/>
          <w:szCs w:val="32"/>
        </w:rPr>
        <w:t>、中级</w:t>
      </w:r>
      <w:r>
        <w:rPr>
          <w:rFonts w:ascii="仿宋_GB2312" w:eastAsia="仿宋_GB2312" w:hint="eastAsia"/>
          <w:sz w:val="32"/>
          <w:szCs w:val="32"/>
        </w:rPr>
        <w:t>1、</w:t>
      </w:r>
      <w:r>
        <w:rPr>
          <w:rFonts w:ascii="仿宋_GB2312" w:eastAsia="仿宋_GB2312"/>
          <w:sz w:val="32"/>
          <w:szCs w:val="32"/>
        </w:rPr>
        <w:t>助理级</w:t>
      </w:r>
      <w:r>
        <w:rPr>
          <w:rFonts w:ascii="仿宋_GB2312" w:eastAsia="仿宋_GB2312" w:hint="eastAsia"/>
          <w:sz w:val="32"/>
          <w:szCs w:val="32"/>
        </w:rPr>
        <w:t>0.8</w:t>
      </w:r>
      <w:r>
        <w:rPr>
          <w:rFonts w:ascii="仿宋_GB2312" w:eastAsia="仿宋_GB2312"/>
          <w:sz w:val="32"/>
          <w:szCs w:val="32"/>
        </w:rPr>
        <w:t>、初级0</w:t>
      </w:r>
      <w:r>
        <w:rPr>
          <w:rFonts w:ascii="仿宋_GB2312" w:eastAsia="仿宋_GB2312" w:hint="eastAsia"/>
          <w:sz w:val="32"/>
          <w:szCs w:val="32"/>
        </w:rPr>
        <w:t>.</w:t>
      </w:r>
      <w:r>
        <w:rPr>
          <w:rFonts w:ascii="仿宋_GB2312" w:eastAsia="仿宋_GB2312"/>
          <w:sz w:val="32"/>
          <w:szCs w:val="32"/>
        </w:rPr>
        <w:t>6</w:t>
      </w:r>
      <w:r>
        <w:rPr>
          <w:rFonts w:ascii="仿宋_GB2312" w:eastAsia="仿宋_GB2312" w:hint="eastAsia"/>
          <w:sz w:val="32"/>
          <w:szCs w:val="32"/>
        </w:rPr>
        <w:t>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第二，计算按作业步骤开展医疗服务项目所需要的平均人力和工时，例如</w:t>
      </w:r>
      <w:proofErr w:type="gramStart"/>
      <w:r>
        <w:rPr>
          <w:rFonts w:ascii="仿宋_GB2312" w:eastAsia="仿宋_GB2312" w:hint="eastAsia"/>
          <w:sz w:val="32"/>
          <w:szCs w:val="32"/>
        </w:rPr>
        <w:t>开展甲项目</w:t>
      </w:r>
      <w:proofErr w:type="gramEnd"/>
      <w:r>
        <w:rPr>
          <w:rFonts w:ascii="仿宋_GB2312" w:eastAsia="仿宋_GB2312" w:hint="eastAsia"/>
          <w:sz w:val="32"/>
          <w:szCs w:val="32"/>
        </w:rPr>
        <w:t>需要正高1人，工作120分钟，如图：</w:t>
      </w:r>
    </w:p>
    <w:p w:rsidR="002C02E6" w:rsidRDefault="00C917C2">
      <w:pPr>
        <w:spacing w:line="600" w:lineRule="exact"/>
        <w:ind w:firstLineChars="200" w:firstLine="420"/>
        <w:rPr>
          <w:rFonts w:ascii="仿宋_GB2312" w:eastAsia="仿宋_GB2312"/>
          <w:sz w:val="32"/>
          <w:szCs w:val="32"/>
        </w:rPr>
      </w:pPr>
      <w:r>
        <w:rPr>
          <w:noProof/>
        </w:rPr>
        <w:lastRenderedPageBreak/>
        <w:drawing>
          <wp:anchor distT="0" distB="0" distL="114300" distR="114300" simplePos="0" relativeHeight="251668992" behindDoc="1" locked="0" layoutInCell="1" allowOverlap="1">
            <wp:simplePos x="0" y="0"/>
            <wp:positionH relativeFrom="column">
              <wp:posOffset>220980</wp:posOffset>
            </wp:positionH>
            <wp:positionV relativeFrom="paragraph">
              <wp:posOffset>211455</wp:posOffset>
            </wp:positionV>
            <wp:extent cx="5285740" cy="1847850"/>
            <wp:effectExtent l="0" t="0" r="0" b="0"/>
            <wp:wrapTight wrapText="bothSides">
              <wp:wrapPolygon edited="0">
                <wp:start x="0" y="0"/>
                <wp:lineTo x="0" y="21377"/>
                <wp:lineTo x="21486" y="21377"/>
                <wp:lineTo x="21486" y="0"/>
                <wp:lineTo x="0" y="0"/>
              </wp:wrapPolygon>
            </wp:wrapTight>
            <wp:docPr id="4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57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第三，将按作业步骤计算的项目所需人力工时转换为标准工时，也可以考虑人员职称和难易程度，难易程度可参考2012</w:t>
      </w:r>
      <w:proofErr w:type="gramStart"/>
      <w:r>
        <w:rPr>
          <w:rFonts w:ascii="仿宋_GB2312" w:eastAsia="仿宋_GB2312" w:hint="eastAsia"/>
          <w:sz w:val="32"/>
          <w:szCs w:val="32"/>
        </w:rPr>
        <w:t>版医疗</w:t>
      </w:r>
      <w:proofErr w:type="gramEnd"/>
      <w:r>
        <w:rPr>
          <w:rFonts w:ascii="仿宋_GB2312" w:eastAsia="仿宋_GB2312" w:hint="eastAsia"/>
          <w:sz w:val="32"/>
          <w:szCs w:val="32"/>
        </w:rPr>
        <w:t>服务项目规范，假如该项目的难易程度为1.05，上例计算的标准工时为：（1.5*120+1*120+0.8*120+1.3*120+0.6*120）*1.05=655.20</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第四，依次计算所有医疗服务项目的标准工时，公式为：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所有项目的标准工时= ∑单个医疗项目的标准工时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第五，计算单位工时成本分摊额=项目成本÷所有项目标准工时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第六，计算项目成本=单位工时成本分摊额×项目使用标准工时</w:t>
      </w:r>
    </w:p>
    <w:p w:rsidR="002C02E6" w:rsidRDefault="00C917C2">
      <w:pPr>
        <w:spacing w:line="600" w:lineRule="exact"/>
        <w:ind w:firstLineChars="200" w:firstLine="640"/>
        <w:rPr>
          <w:rFonts w:ascii="仿宋_GB2312" w:eastAsia="仿宋_GB2312"/>
          <w:sz w:val="32"/>
          <w:szCs w:val="32"/>
        </w:rPr>
      </w:pPr>
      <w:bookmarkStart w:id="59" w:name="_Toc510947559"/>
      <w:r>
        <w:rPr>
          <w:rFonts w:ascii="仿宋_GB2312" w:eastAsia="仿宋_GB2312"/>
          <w:sz w:val="32"/>
          <w:szCs w:val="32"/>
        </w:rPr>
        <w:t>b</w:t>
      </w:r>
      <w:r>
        <w:rPr>
          <w:rFonts w:ascii="仿宋_GB2312" w:eastAsia="仿宋_GB2312" w:hint="eastAsia"/>
          <w:sz w:val="32"/>
          <w:szCs w:val="32"/>
        </w:rPr>
        <w:t>不收费耗材成本分摊</w:t>
      </w:r>
      <w:bookmarkEnd w:id="59"/>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收费药品、耗材成本不计</w:t>
      </w:r>
      <w:proofErr w:type="gramStart"/>
      <w:r>
        <w:rPr>
          <w:rFonts w:ascii="仿宋_GB2312" w:eastAsia="仿宋_GB2312" w:hint="eastAsia"/>
          <w:sz w:val="32"/>
          <w:szCs w:val="32"/>
        </w:rPr>
        <w:t>入项目</w:t>
      </w:r>
      <w:proofErr w:type="gramEnd"/>
      <w:r>
        <w:rPr>
          <w:rFonts w:ascii="仿宋_GB2312" w:eastAsia="仿宋_GB2312" w:hint="eastAsia"/>
          <w:sz w:val="32"/>
          <w:szCs w:val="32"/>
        </w:rPr>
        <w:t>成本，需要将不收费的卫生材料等耗材计入项目成本。耗用的卫生材料一般和作业无关，直接和项目相关，按照管理会计成本效益原则，不再将耗材成本归集到作业。</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计算</w:t>
      </w:r>
      <w:r>
        <w:rPr>
          <w:rFonts w:ascii="仿宋_GB2312" w:eastAsia="仿宋_GB2312"/>
          <w:sz w:val="32"/>
          <w:szCs w:val="32"/>
        </w:rPr>
        <w:t>步骤为</w:t>
      </w:r>
      <w:r>
        <w:rPr>
          <w:rFonts w:ascii="仿宋_GB2312" w:eastAsia="仿宋_GB2312" w:hint="eastAsia"/>
          <w:sz w:val="32"/>
          <w:szCs w:val="32"/>
        </w:rPr>
        <w:t>：</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第一,收集开展项目需要的不收费卫生材料，如图：开展Ⅱ期后房型人工晶状体</w:t>
      </w:r>
      <w:proofErr w:type="gramStart"/>
      <w:r>
        <w:rPr>
          <w:rFonts w:ascii="仿宋_GB2312" w:eastAsia="仿宋_GB2312" w:hint="eastAsia"/>
          <w:sz w:val="32"/>
          <w:szCs w:val="32"/>
        </w:rPr>
        <w:t>睫状沟缝入术使用</w:t>
      </w:r>
      <w:proofErr w:type="gramEnd"/>
      <w:r>
        <w:rPr>
          <w:rFonts w:ascii="仿宋_GB2312" w:eastAsia="仿宋_GB2312" w:hint="eastAsia"/>
          <w:sz w:val="32"/>
          <w:szCs w:val="32"/>
        </w:rPr>
        <w:t>的卫生材料：</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59776" behindDoc="1" locked="0" layoutInCell="1" allowOverlap="1">
            <wp:simplePos x="0" y="0"/>
            <wp:positionH relativeFrom="column">
              <wp:posOffset>493395</wp:posOffset>
            </wp:positionH>
            <wp:positionV relativeFrom="paragraph">
              <wp:posOffset>62865</wp:posOffset>
            </wp:positionV>
            <wp:extent cx="4648200" cy="885825"/>
            <wp:effectExtent l="0" t="0" r="0" b="0"/>
            <wp:wrapTight wrapText="bothSides">
              <wp:wrapPolygon edited="0">
                <wp:start x="0" y="0"/>
                <wp:lineTo x="0" y="21368"/>
                <wp:lineTo x="21511" y="21368"/>
                <wp:lineTo x="21511" y="0"/>
                <wp:lineTo x="0" y="0"/>
              </wp:wrapPolygon>
            </wp:wrapTight>
            <wp:docPr id="43"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第二，根据本期开展的单个项目数量计算该项目需要耗用的卫生材料数量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本期单个项目耗材使用量=需要数量×本期开展数量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第三，本期所有项目使用该耗材数量= ∑本期单个项目耗材使用量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第四，每单位该耗材成本额=</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本期科室领用该</w:t>
      </w:r>
      <w:proofErr w:type="gramStart"/>
      <w:r>
        <w:rPr>
          <w:rFonts w:ascii="仿宋_GB2312" w:eastAsia="仿宋_GB2312" w:hint="eastAsia"/>
          <w:sz w:val="32"/>
          <w:szCs w:val="32"/>
        </w:rPr>
        <w:t>耗材总</w:t>
      </w:r>
      <w:proofErr w:type="gramEnd"/>
      <w:r>
        <w:rPr>
          <w:rFonts w:ascii="仿宋_GB2312" w:eastAsia="仿宋_GB2312" w:hint="eastAsia"/>
          <w:sz w:val="32"/>
          <w:szCs w:val="32"/>
        </w:rPr>
        <w:t>金额/本期所有项目使用该耗材数量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第五，项目耗材成本分摊额=每单位该耗材成本额×该耗材需要数量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第六，计算项目使用的耗材的单位成本</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60800" behindDoc="1" locked="0" layoutInCell="1" allowOverlap="1">
            <wp:simplePos x="0" y="0"/>
            <wp:positionH relativeFrom="column">
              <wp:posOffset>123825</wp:posOffset>
            </wp:positionH>
            <wp:positionV relativeFrom="paragraph">
              <wp:posOffset>214630</wp:posOffset>
            </wp:positionV>
            <wp:extent cx="5153025" cy="1162050"/>
            <wp:effectExtent l="0" t="0" r="0" b="0"/>
            <wp:wrapTight wrapText="bothSides">
              <wp:wrapPolygon edited="0">
                <wp:start x="0" y="0"/>
                <wp:lineTo x="0" y="21246"/>
                <wp:lineTo x="21560" y="21246"/>
                <wp:lineTo x="21560" y="0"/>
                <wp:lineTo x="0" y="0"/>
              </wp:wrapPolygon>
            </wp:wrapTight>
            <wp:docPr id="3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1162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0" w:name="_Toc510947560"/>
      <w:r>
        <w:rPr>
          <w:rFonts w:ascii="仿宋_GB2312" w:eastAsia="仿宋_GB2312"/>
          <w:sz w:val="32"/>
          <w:szCs w:val="32"/>
        </w:rPr>
        <w:t xml:space="preserve">c </w:t>
      </w:r>
      <w:r>
        <w:rPr>
          <w:rFonts w:ascii="仿宋_GB2312" w:eastAsia="仿宋_GB2312" w:hint="eastAsia"/>
          <w:sz w:val="32"/>
          <w:szCs w:val="32"/>
        </w:rPr>
        <w:t>固定资产折旧费分摊</w:t>
      </w:r>
      <w:bookmarkEnd w:id="6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固定资产折旧费计算项目使用的设备的折旧成本，按照设备</w:t>
      </w:r>
      <w:r>
        <w:rPr>
          <w:rFonts w:ascii="仿宋_GB2312" w:eastAsia="仿宋_GB2312" w:hint="eastAsia"/>
          <w:sz w:val="32"/>
          <w:szCs w:val="32"/>
        </w:rPr>
        <w:lastRenderedPageBreak/>
        <w:t>的工作时间，设计</w:t>
      </w:r>
      <w:r>
        <w:rPr>
          <w:rFonts w:ascii="仿宋_GB2312" w:eastAsia="仿宋_GB2312"/>
          <w:sz w:val="32"/>
          <w:szCs w:val="32"/>
        </w:rPr>
        <w:t>操作时间分配系数。</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第一，采集设备的工作时间，如图开展</w:t>
      </w:r>
      <w:proofErr w:type="gramStart"/>
      <w:r>
        <w:rPr>
          <w:rFonts w:ascii="仿宋_GB2312" w:eastAsia="仿宋_GB2312" w:hint="eastAsia"/>
          <w:sz w:val="32"/>
          <w:szCs w:val="32"/>
        </w:rPr>
        <w:t>开展</w:t>
      </w:r>
      <w:proofErr w:type="gramEnd"/>
      <w:r>
        <w:rPr>
          <w:rFonts w:ascii="仿宋_GB2312" w:eastAsia="仿宋_GB2312" w:hint="eastAsia"/>
          <w:sz w:val="32"/>
          <w:szCs w:val="32"/>
        </w:rPr>
        <w:t>Ⅱ期后房型人工晶状体</w:t>
      </w:r>
      <w:proofErr w:type="gramStart"/>
      <w:r>
        <w:rPr>
          <w:rFonts w:ascii="仿宋_GB2312" w:eastAsia="仿宋_GB2312" w:hint="eastAsia"/>
          <w:sz w:val="32"/>
          <w:szCs w:val="32"/>
        </w:rPr>
        <w:t>睫状沟缝入术使用</w:t>
      </w:r>
      <w:proofErr w:type="gramEnd"/>
      <w:r>
        <w:rPr>
          <w:rFonts w:ascii="仿宋_GB2312" w:eastAsia="仿宋_GB2312" w:hint="eastAsia"/>
          <w:sz w:val="32"/>
          <w:szCs w:val="32"/>
        </w:rPr>
        <w:t>的设备的平均耗时。</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61824" behindDoc="1" locked="0" layoutInCell="1" allowOverlap="1">
            <wp:simplePos x="0" y="0"/>
            <wp:positionH relativeFrom="column">
              <wp:posOffset>398145</wp:posOffset>
            </wp:positionH>
            <wp:positionV relativeFrom="paragraph">
              <wp:posOffset>215900</wp:posOffset>
            </wp:positionV>
            <wp:extent cx="4887595" cy="1371600"/>
            <wp:effectExtent l="0" t="0" r="0" b="0"/>
            <wp:wrapTight wrapText="bothSides">
              <wp:wrapPolygon edited="0">
                <wp:start x="0" y="0"/>
                <wp:lineTo x="0" y="21300"/>
                <wp:lineTo x="21552" y="21300"/>
                <wp:lineTo x="21552" y="0"/>
                <wp:lineTo x="0" y="0"/>
              </wp:wrapPolygon>
            </wp:wrapTight>
            <wp:docPr id="39"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5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第二，根据本期开展的单个项目数量计算该项目需要分摊的折旧</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本期单个项目设备使用总工时=使用设备耗时×本期开展数量</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第三，本期所有项目使用该设备总工时= ∑本期单个项目设备使用总工时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第四，使用该设备单位工时成本=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本期科室该设备折旧总额÷本期所有项目使用该设备总工时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第五，计算项目设备折旧成本分摊额=使用该设备单位工时成本×使用设备耗时</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如图：开展该项目使用的设备使用16层CT机，耗时三分钟的成本：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bCs/>
          <w:noProof/>
          <w:sz w:val="32"/>
          <w:szCs w:val="32"/>
        </w:rPr>
        <w:lastRenderedPageBreak/>
        <w:drawing>
          <wp:anchor distT="0" distB="0" distL="114300" distR="114300" simplePos="0" relativeHeight="251662848" behindDoc="1" locked="0" layoutInCell="1" allowOverlap="1">
            <wp:simplePos x="0" y="0"/>
            <wp:positionH relativeFrom="column">
              <wp:posOffset>297180</wp:posOffset>
            </wp:positionH>
            <wp:positionV relativeFrom="paragraph">
              <wp:posOffset>53975</wp:posOffset>
            </wp:positionV>
            <wp:extent cx="5196205" cy="709930"/>
            <wp:effectExtent l="0" t="0" r="0" b="0"/>
            <wp:wrapTight wrapText="bothSides">
              <wp:wrapPolygon edited="0">
                <wp:start x="0" y="0"/>
                <wp:lineTo x="0" y="20866"/>
                <wp:lineTo x="21539" y="20866"/>
                <wp:lineTo x="21539" y="0"/>
                <wp:lineTo x="0" y="0"/>
              </wp:wrapPolygon>
            </wp:wrapTight>
            <wp:docPr id="40"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6205" cy="7099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1" w:name="_Toc510947561"/>
      <w:r>
        <w:rPr>
          <w:rFonts w:ascii="仿宋_GB2312" w:eastAsia="仿宋_GB2312"/>
          <w:bCs/>
          <w:sz w:val="32"/>
          <w:szCs w:val="32"/>
        </w:rPr>
        <w:t>③</w:t>
      </w:r>
      <w:r>
        <w:rPr>
          <w:rFonts w:ascii="仿宋_GB2312" w:eastAsia="仿宋_GB2312" w:hint="eastAsia"/>
          <w:bCs/>
          <w:sz w:val="32"/>
          <w:szCs w:val="32"/>
        </w:rPr>
        <w:t>确定科室成本</w:t>
      </w:r>
      <w:bookmarkEnd w:id="6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数据采集完成及项目的作业与动因设置完成后，就可以计算项目成本了，项目成本包括直接医疗类和医疗技术类科室开展的项目成本，包括</w:t>
      </w:r>
      <w:r>
        <w:rPr>
          <w:rFonts w:ascii="仿宋_GB2312" w:eastAsia="仿宋_GB2312"/>
          <w:sz w:val="32"/>
          <w:szCs w:val="32"/>
        </w:rPr>
        <w:t>辅助类科室成本，</w:t>
      </w:r>
      <w:r>
        <w:rPr>
          <w:rFonts w:ascii="仿宋_GB2312" w:eastAsia="仿宋_GB2312" w:hint="eastAsia"/>
          <w:sz w:val="32"/>
          <w:szCs w:val="32"/>
        </w:rPr>
        <w:t>需要将辅助类科室的成本分摊</w:t>
      </w:r>
      <w:r>
        <w:rPr>
          <w:rFonts w:ascii="仿宋_GB2312" w:eastAsia="仿宋_GB2312"/>
          <w:sz w:val="32"/>
          <w:szCs w:val="32"/>
        </w:rPr>
        <w:t>到</w:t>
      </w:r>
      <w:r>
        <w:rPr>
          <w:rFonts w:ascii="仿宋_GB2312" w:eastAsia="仿宋_GB2312" w:hint="eastAsia"/>
          <w:sz w:val="32"/>
          <w:szCs w:val="32"/>
        </w:rPr>
        <w:t>医疗类</w:t>
      </w:r>
      <w:r>
        <w:rPr>
          <w:rFonts w:ascii="仿宋_GB2312" w:eastAsia="仿宋_GB2312"/>
          <w:sz w:val="32"/>
          <w:szCs w:val="32"/>
        </w:rPr>
        <w:t>科室和医技类科室，</w:t>
      </w:r>
      <w:r>
        <w:rPr>
          <w:rFonts w:ascii="仿宋_GB2312" w:eastAsia="仿宋_GB2312" w:hint="eastAsia"/>
          <w:sz w:val="32"/>
          <w:szCs w:val="32"/>
        </w:rPr>
        <w:t>形成医疗类科室成本和医技类科室成本。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此处需要注意，《医院财务制度》</w:t>
      </w:r>
      <w:proofErr w:type="gramStart"/>
      <w:r>
        <w:rPr>
          <w:rFonts w:ascii="仿宋_GB2312" w:eastAsia="仿宋_GB2312" w:hint="eastAsia"/>
          <w:sz w:val="32"/>
          <w:szCs w:val="32"/>
        </w:rPr>
        <w:t>中项目</w:t>
      </w:r>
      <w:proofErr w:type="gramEnd"/>
      <w:r>
        <w:rPr>
          <w:rFonts w:ascii="仿宋_GB2312" w:eastAsia="仿宋_GB2312" w:hint="eastAsia"/>
          <w:sz w:val="32"/>
          <w:szCs w:val="32"/>
        </w:rPr>
        <w:t>成本核算不含管理费用，但北京等地方推出的项目成本核算方案中包含了管理费用，原因可能是认为管理费用最终也是通过医疗服务项目得到补偿。本项目组认为，管理费用属于期间费用，按照企业上通行的做法，不宜包含在项目成本核算中。在核算项目成本的时候，不能完全采用科室成本核算的“四类三级分摊法”，需要将管理费用排除在外。</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完成科室成本核算，锁定了临床服务类和医疗技术类科室的成本是开展项目成本核算的第一步。</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a获得科室成本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将辅助类科室成本按照一定的方法分摊到医疗类和技术类科室，形成医疗类科室成本和医技类科室成本，包括人员经费、药品费、卫生材料费、固定资产折旧、无形资产摊销费、医疗风险基金和其他费用等七类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b对不收费药品、耗材、固定资产折旧成本进行分类</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药品费和卫生材料费还需要进一步细分，根据是否收费分为收费卫药成本和不收费卫药成本：</w:t>
      </w:r>
    </w:p>
    <w:p w:rsidR="002C02E6" w:rsidRDefault="00C917C2">
      <w:pPr>
        <w:rPr>
          <w:color w:val="000000"/>
          <w:sz w:val="24"/>
        </w:rPr>
      </w:pPr>
      <w:r>
        <w:rPr>
          <w:rFonts w:ascii="宋体" w:hAnsi="宋体" w:cs="宋体"/>
          <w:noProof/>
          <w:sz w:val="28"/>
          <w:szCs w:val="28"/>
        </w:rPr>
        <mc:AlternateContent>
          <mc:Choice Requires="wpg">
            <w:drawing>
              <wp:anchor distT="0" distB="0" distL="114300" distR="114300" simplePos="0" relativeHeight="251651584" behindDoc="0" locked="0" layoutInCell="1" allowOverlap="1">
                <wp:simplePos x="0" y="0"/>
                <wp:positionH relativeFrom="column">
                  <wp:posOffset>96520</wp:posOffset>
                </wp:positionH>
                <wp:positionV relativeFrom="paragraph">
                  <wp:posOffset>88265</wp:posOffset>
                </wp:positionV>
                <wp:extent cx="5593715" cy="1691640"/>
                <wp:effectExtent l="0" t="0" r="0" b="0"/>
                <wp:wrapNone/>
                <wp:docPr id="30"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1691640"/>
                          <a:chOff x="0" y="0"/>
                          <a:chExt cx="29498" cy="16915"/>
                        </a:xfrm>
                      </wpg:grpSpPr>
                      <wps:wsp>
                        <wps:cNvPr id="31" name="TextBox 3"/>
                        <wps:cNvSpPr txBox="1">
                          <a:spLocks/>
                        </wps:cNvSpPr>
                        <wps:spPr bwMode="auto">
                          <a:xfrm>
                            <a:off x="0" y="4972"/>
                            <a:ext cx="3379"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pPr>
                              <w:r>
                                <w:rPr>
                                  <w:rFonts w:ascii="等线" w:eastAsia="等线" w:cs="Times New Roman" w:hint="eastAsia"/>
                                  <w:color w:val="000000"/>
                                  <w:kern w:val="24"/>
                                </w:rPr>
                                <w:t>卫药费</w:t>
                              </w:r>
                            </w:p>
                          </w:txbxContent>
                        </wps:txbx>
                        <wps:bodyPr rot="0" vert="horz" wrap="none" lIns="91440" tIns="45720" rIns="91440" bIns="45720" anchor="t" anchorCtr="0" upright="1">
                          <a:spAutoFit/>
                        </wps:bodyPr>
                      </wps:wsp>
                      <wps:wsp>
                        <wps:cNvPr id="32" name="左大括号 48"/>
                        <wps:cNvSpPr>
                          <a:spLocks/>
                        </wps:cNvSpPr>
                        <wps:spPr bwMode="auto">
                          <a:xfrm>
                            <a:off x="3450" y="1420"/>
                            <a:ext cx="2926" cy="9876"/>
                          </a:xfrm>
                          <a:prstGeom prst="leftBrace">
                            <a:avLst>
                              <a:gd name="adj1" fmla="val 8329"/>
                              <a:gd name="adj2" fmla="val 50000"/>
                            </a:avLst>
                          </a:prstGeom>
                          <a:noFill/>
                          <a:ln w="9525">
                            <a:solidFill>
                              <a:srgbClr val="3C6A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TextBox 6"/>
                        <wps:cNvSpPr txBox="1">
                          <a:spLocks/>
                        </wps:cNvSpPr>
                        <wps:spPr bwMode="auto">
                          <a:xfrm>
                            <a:off x="6607" y="0"/>
                            <a:ext cx="10849"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rPr>
                                  <w:color w:val="000000"/>
                                  <w:sz w:val="24"/>
                                </w:rPr>
                              </w:pPr>
                              <w:r>
                                <w:rPr>
                                  <w:rFonts w:hint="eastAsia"/>
                                  <w:color w:val="000000"/>
                                  <w:sz w:val="24"/>
                                </w:rPr>
                                <w:t>收费卫药成本</w:t>
                              </w:r>
                            </w:p>
                          </w:txbxContent>
                        </wps:txbx>
                        <wps:bodyPr rot="0" vert="horz" wrap="square" lIns="91440" tIns="45720" rIns="91440" bIns="45720" anchor="t" anchorCtr="0" upright="1">
                          <a:spAutoFit/>
                        </wps:bodyPr>
                      </wps:wsp>
                      <wps:wsp>
                        <wps:cNvPr id="34" name="TextBox 7"/>
                        <wps:cNvSpPr txBox="1">
                          <a:spLocks/>
                        </wps:cNvSpPr>
                        <wps:spPr bwMode="auto">
                          <a:xfrm>
                            <a:off x="6332" y="8756"/>
                            <a:ext cx="7498"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rPr>
                                  <w:rFonts w:ascii="等线" w:eastAsia="等线" w:hAnsi="等线" w:cs="Times New Roman"/>
                                  <w:color w:val="000000"/>
                                  <w:kern w:val="2"/>
                                  <w:szCs w:val="22"/>
                                </w:rPr>
                              </w:pPr>
                              <w:r>
                                <w:rPr>
                                  <w:rFonts w:ascii="等线" w:eastAsia="等线" w:cs="Times New Roman" w:hint="eastAsia"/>
                                  <w:color w:val="000000"/>
                                  <w:kern w:val="24"/>
                                </w:rPr>
                                <w:t>不</w:t>
                              </w:r>
                              <w:r>
                                <w:rPr>
                                  <w:rFonts w:ascii="等线" w:eastAsia="等线" w:hAnsi="等线" w:cs="Times New Roman" w:hint="eastAsia"/>
                                  <w:color w:val="000000"/>
                                  <w:kern w:val="2"/>
                                  <w:szCs w:val="22"/>
                                </w:rPr>
                                <w:t>收费卫药成本</w:t>
                              </w:r>
                            </w:p>
                          </w:txbxContent>
                        </wps:txbx>
                        <wps:bodyPr rot="0" vert="horz" wrap="square" lIns="91440" tIns="45720" rIns="91440" bIns="45720" anchor="t" anchorCtr="0" upright="1">
                          <a:spAutoFit/>
                        </wps:bodyPr>
                      </wps:wsp>
                      <wps:wsp>
                        <wps:cNvPr id="35" name="左大括号 51"/>
                        <wps:cNvSpPr>
                          <a:spLocks/>
                        </wps:cNvSpPr>
                        <wps:spPr bwMode="auto">
                          <a:xfrm>
                            <a:off x="13784" y="5510"/>
                            <a:ext cx="2926" cy="9875"/>
                          </a:xfrm>
                          <a:prstGeom prst="leftBrace">
                            <a:avLst>
                              <a:gd name="adj1" fmla="val 8328"/>
                              <a:gd name="adj2" fmla="val 50000"/>
                            </a:avLst>
                          </a:prstGeom>
                          <a:noFill/>
                          <a:ln w="9525">
                            <a:solidFill>
                              <a:srgbClr val="3C6A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TextBox 10"/>
                        <wps:cNvSpPr txBox="1">
                          <a:spLocks/>
                        </wps:cNvSpPr>
                        <wps:spPr bwMode="auto">
                          <a:xfrm>
                            <a:off x="17456" y="3930"/>
                            <a:ext cx="11644" cy="8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pPr>
                              <w:r>
                                <w:rPr>
                                  <w:rFonts w:ascii="等线" w:eastAsia="等线" w:cs="Times New Roman" w:hint="eastAsia"/>
                                  <w:color w:val="000000"/>
                                  <w:kern w:val="24"/>
                                </w:rPr>
                                <w:t>直接成本</w:t>
                              </w:r>
                            </w:p>
                            <w:p w:rsidR="002C02E6" w:rsidRDefault="00C917C2">
                              <w:pPr>
                                <w:pStyle w:val="a9"/>
                                <w:spacing w:before="0" w:beforeAutospacing="0" w:after="0" w:afterAutospacing="0"/>
                              </w:pPr>
                              <w:r>
                                <w:rPr>
                                  <w:rFonts w:ascii="等线" w:eastAsia="等线" w:hAnsi="Calibri" w:cs="Times New Roman"/>
                                  <w:color w:val="000000"/>
                                  <w:kern w:val="24"/>
                                </w:rPr>
                                <w:t>(</w:t>
                              </w:r>
                              <w:r>
                                <w:rPr>
                                  <w:rFonts w:ascii="等线" w:eastAsia="等线" w:cs="Times New Roman" w:hint="eastAsia"/>
                                  <w:color w:val="000000"/>
                                  <w:kern w:val="24"/>
                                </w:rPr>
                                <w:t>按使用材料直接计入</w:t>
                              </w:r>
                              <w:r>
                                <w:rPr>
                                  <w:rFonts w:ascii="等线" w:eastAsia="等线" w:hAnsi="Calibri" w:cs="Times New Roman"/>
                                  <w:color w:val="000000"/>
                                  <w:kern w:val="24"/>
                                </w:rPr>
                                <w:t>)</w:t>
                              </w:r>
                            </w:p>
                          </w:txbxContent>
                        </wps:txbx>
                        <wps:bodyPr rot="0" vert="horz" wrap="square" lIns="91440" tIns="45720" rIns="91440" bIns="45720" anchor="t" anchorCtr="0" upright="1">
                          <a:spAutoFit/>
                        </wps:bodyPr>
                      </wps:wsp>
                      <wps:wsp>
                        <wps:cNvPr id="37" name="TextBox 11"/>
                        <wps:cNvSpPr txBox="1">
                          <a:spLocks/>
                        </wps:cNvSpPr>
                        <wps:spPr bwMode="auto">
                          <a:xfrm>
                            <a:off x="17101" y="12038"/>
                            <a:ext cx="12397" cy="4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ind w:firstLine="420"/>
                                <w:rPr>
                                  <w:color w:val="000000"/>
                                  <w:sz w:val="24"/>
                                </w:rPr>
                              </w:pPr>
                              <w:r>
                                <w:rPr>
                                  <w:rFonts w:hint="eastAsia"/>
                                  <w:color w:val="000000"/>
                                  <w:sz w:val="24"/>
                                </w:rPr>
                                <w:t>间接成本（无法直接计入，需要分摊计入）</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id="组合 6" o:spid="_x0000_s1026" style="position:absolute;left:0;text-align:left;margin-left:7.6pt;margin-top:6.95pt;width:440.45pt;height:133.2pt;z-index:251651584" coordsize="29498,1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">
                <v:shapetype id="_x0000_t202" coordsize="21600,21600" o:spt="202" path="m,l,21600r21600,l21600,xe">
                  <v:stroke joinstyle="miter"/>
                  <v:path gradientshapeok="t" o:connecttype="rect"/>
                </v:shapetype>
                <v:shape id="TextBox 3" o:spid="_x0000_s1027" type="#_x0000_t202" style="position:absolute;top:4972;width:3379;height:4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Kg8MA&#10;AADbAAAADwAAAGRycy9kb3ducmV2LnhtbESPQWsCMRSE74L/IbxCL6JZFUS2RhGhIOjFVe+Pzevu&#10;0s3LmqRr6q9vCoLHYWa+YVabaFrRk/ONZQXTSQaCuLS64UrB5fw5XoLwAVlja5kU/JKHzXo4WGGu&#10;7Z1P1BehEgnCPkcFdQhdLqUvazLoJ7YjTt6XdQZDkq6S2uE9wU0rZ1m2kAYbTgs1drSrqfwufowC&#10;XVwfZze/xdH2cJpV10UZb/1Rqfe3uP0AESiGV/jZ3msF8y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Kg8MAAADbAAAADwAAAAAAAAAAAAAAAACYAgAAZHJzL2Rv&#10;d25yZXYueG1sUEsFBgAAAAAEAAQA9QAAAIgDAAAAAA==&#10;" filled="f" stroked="f">
                  <v:path arrowok="t"/>
                  <v:textbox style="mso-fit-shape-to-text:t">
                    <w:txbxContent>
                      <w:p w:rsidR="00F8255F" w:rsidRDefault="00F8255F">
                        <w:pPr>
                          <w:pStyle w:val="a9"/>
                          <w:spacing w:before="0" w:beforeAutospacing="0" w:after="0" w:afterAutospacing="0"/>
                        </w:pPr>
                        <w:r>
                          <w:rPr>
                            <w:rFonts w:ascii="等线" w:eastAsia="等线" w:cs="Times New Roman" w:hint="eastAsia"/>
                            <w:color w:val="000000"/>
                            <w:kern w:val="24"/>
                          </w:rPr>
                          <w:t>卫药费</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8" o:spid="_x0000_s1028" type="#_x0000_t87" style="position:absolute;left:3450;top:1420;width:2926;height:9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MG8QA&#10;AADbAAAADwAAAGRycy9kb3ducmV2LnhtbESPQUvDQBSE74L/YXmCF2k3piIl7bZIQfQk2BR7fWRf&#10;k9C8t3F3TVN/fVcQehxm5htmuR65UwP50Dox8DjNQJFUzrZSG9iVr5M5qBBRLHZOyMCZAqxXtzdL&#10;LKw7yScN21irBJFQoIEmxr7QOlQNMYap60mSd3CeMSbpa209nhKcO51n2bNmbCUtNNjTpqHquP1h&#10;A7+bcf/lHz6+z5TTwG/MT2WZG3N/N74sQEUa4zX83363BmY5/H1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TBvEAAAA2wAAAA8AAAAAAAAAAAAAAAAAmAIAAGRycy9k&#10;b3ducmV2LnhtbFBLBQYAAAAABAAEAPUAAACJAwAAAAA=&#10;" adj="533" strokecolor="#3c6abe"/>
                <v:shape id="TextBox 6" o:spid="_x0000_s1029" type="#_x0000_t202" style="position:absolute;left:6607;width:1084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1J8MA&#10;AADbAAAADwAAAGRycy9kb3ducmV2LnhtbESPQWvCQBSE70L/w/IK3nRjhCrRVULTQOlBUIvn1+wz&#10;iWbfhuyq6b93BcHjMDPfMMt1bxpxpc7VlhVMxhEI4sLqmksFv/t8NAfhPLLGxjIp+CcH69XbYImJ&#10;tjfe0nXnSxEg7BJUUHnfJlK6oiKDbmxb4uAdbWfQB9mVUnd4C3DTyDiKPqTBmsNChS19VlScdxej&#10;YDbPMx0znX8oK77+0o05HE5GqeF7ny5AeOr9K/xsf2sF0yk8vo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W1J8MAAADbAAAADwAAAAAAAAAAAAAAAACYAgAAZHJzL2Rv&#10;d25yZXYueG1sUEsFBgAAAAAEAAQA9QAAAIgDAAAAAA==&#10;" filled="f" stroked="f">
                  <v:path arrowok="t"/>
                  <v:textbox style="mso-fit-shape-to-text:t">
                    <w:txbxContent>
                      <w:p w:rsidR="00F8255F" w:rsidRDefault="00F8255F">
                        <w:pPr>
                          <w:rPr>
                            <w:color w:val="000000"/>
                            <w:sz w:val="24"/>
                          </w:rPr>
                        </w:pPr>
                        <w:r>
                          <w:rPr>
                            <w:rFonts w:hint="eastAsia"/>
                            <w:color w:val="000000"/>
                            <w:sz w:val="24"/>
                          </w:rPr>
                          <w:t>收费卫药成本</w:t>
                        </w:r>
                      </w:p>
                    </w:txbxContent>
                  </v:textbox>
                </v:shape>
                <v:shape id="TextBox 7" o:spid="_x0000_s1030" type="#_x0000_t202" style="position:absolute;left:6332;top:8756;width:7498;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tU8QA&#10;AADbAAAADwAAAGRycy9kb3ducmV2LnhtbESPQWvCQBSE70L/w/IKvdVNtdgQsxFpDBQPQm3J+Zl9&#10;JtHs25Ddavrvu0LB4zAz3zDpajSduNDgWssKXqYRCOLK6pZrBd9fxXMMwnlkjZ1lUvBLDlbZwyTF&#10;RNsrf9Jl72sRIOwSVNB43ydSuqohg25qe+LgHe1g0Ac51FIPeA1w08lZFC2kwZbDQoM9vTdUnfc/&#10;RsFbXOR6xnTeUl5tDuudKcuTUerpcVwvQXga/T383/7QCuavcPs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LVPEAAAA2wAAAA8AAAAAAAAAAAAAAAAAmAIAAGRycy9k&#10;b3ducmV2LnhtbFBLBQYAAAAABAAEAPUAAACJAwAAAAA=&#10;" filled="f" stroked="f">
                  <v:path arrowok="t"/>
                  <v:textbox style="mso-fit-shape-to-text:t">
                    <w:txbxContent>
                      <w:p w:rsidR="00F8255F" w:rsidRDefault="00F8255F">
                        <w:pPr>
                          <w:pStyle w:val="a9"/>
                          <w:spacing w:before="0" w:beforeAutospacing="0" w:after="0" w:afterAutospacing="0"/>
                          <w:rPr>
                            <w:rFonts w:ascii="等线" w:eastAsia="等线" w:hAnsi="等线" w:cs="Times New Roman"/>
                            <w:color w:val="000000"/>
                            <w:kern w:val="2"/>
                            <w:szCs w:val="22"/>
                          </w:rPr>
                        </w:pPr>
                        <w:r>
                          <w:rPr>
                            <w:rFonts w:ascii="等线" w:eastAsia="等线" w:cs="Times New Roman" w:hint="eastAsia"/>
                            <w:color w:val="000000"/>
                            <w:kern w:val="24"/>
                          </w:rPr>
                          <w:t>不</w:t>
                        </w:r>
                        <w:r>
                          <w:rPr>
                            <w:rFonts w:ascii="等线" w:eastAsia="等线" w:hAnsi="等线" w:cs="Times New Roman" w:hint="eastAsia"/>
                            <w:color w:val="000000"/>
                            <w:kern w:val="2"/>
                            <w:szCs w:val="22"/>
                          </w:rPr>
                          <w:t>收费卫药成本</w:t>
                        </w:r>
                      </w:p>
                    </w:txbxContent>
                  </v:textbox>
                </v:shape>
                <v:shape id="左大括号 51" o:spid="_x0000_s1031" type="#_x0000_t87" style="position:absolute;left:13784;top:5510;width:2926;height: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Ub8UA&#10;AADbAAAADwAAAGRycy9kb3ducmV2LnhtbESPX0vDQBDE3wW/w7FCX8ReGv8gsddSCkWfCjair0tu&#10;TYLZvfTumqZ++p4g9HGYmd8w8+XInRrIh9aJgdk0A0VSOdtKbeCj3Nw9gwoRxWLnhAycKMBycX01&#10;x8K6o7zTsIu1ShAJBRpoYuwLrUPVEGOYup4ked/OM8Ykfa2tx2OCc6fzLHvSjK2khQZ7WjdU/ewO&#10;bOB3PX59+tvt/kQ5DfzK/FCWuTGTm3H1AirSGC/h//abNXD/CH9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NRvxQAAANsAAAAPAAAAAAAAAAAAAAAAAJgCAABkcnMv&#10;ZG93bnJldi54bWxQSwUGAAAAAAQABAD1AAAAigMAAAAA&#10;" adj="533" strokecolor="#3c6abe"/>
                <v:shape id="TextBox 10" o:spid="_x0000_s1032" type="#_x0000_t202" style="position:absolute;left:17456;top:3930;width:11644;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Wv8MA&#10;AADbAAAADwAAAGRycy9kb3ducmV2LnhtbESPT2vCQBTE74V+h+UVeqsbI6hEVwn+geJBUIvn1+wz&#10;iWbfhuyaxG/vFgoeh5n5DTNf9qYSLTWutKxgOIhAEGdWl5wr+Dltv6YgnEfWWFkmBQ9ysFy8v80x&#10;0bbjA7VHn4sAYZeggsL7OpHSZQUZdANbEwfvYhuDPsgml7rBLsBNJeMoGkuDJYeFAmtaFZTdjnej&#10;YDLdrnXMdNvROtv8pntzPl+NUp8ffToD4an3r/B/+1srGI3h7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Wv8MAAADbAAAADwAAAAAAAAAAAAAAAACYAgAAZHJzL2Rv&#10;d25yZXYueG1sUEsFBgAAAAAEAAQA9QAAAIgDAAAAAA==&#10;" filled="f" stroked="f">
                  <v:path arrowok="t"/>
                  <v:textbox style="mso-fit-shape-to-text:t">
                    <w:txbxContent>
                      <w:p w:rsidR="00F8255F" w:rsidRDefault="00F8255F">
                        <w:pPr>
                          <w:pStyle w:val="a9"/>
                          <w:spacing w:before="0" w:beforeAutospacing="0" w:after="0" w:afterAutospacing="0"/>
                        </w:pPr>
                        <w:r>
                          <w:rPr>
                            <w:rFonts w:ascii="等线" w:eastAsia="等线" w:cs="Times New Roman" w:hint="eastAsia"/>
                            <w:color w:val="000000"/>
                            <w:kern w:val="24"/>
                          </w:rPr>
                          <w:t>直接成本</w:t>
                        </w:r>
                      </w:p>
                      <w:p w:rsidR="00F8255F" w:rsidRDefault="00F8255F">
                        <w:pPr>
                          <w:pStyle w:val="a9"/>
                          <w:spacing w:before="0" w:beforeAutospacing="0" w:after="0" w:afterAutospacing="0"/>
                        </w:pPr>
                        <w:r>
                          <w:rPr>
                            <w:rFonts w:ascii="等线" w:eastAsia="等线" w:hAnsi="Calibri" w:cs="Times New Roman"/>
                            <w:color w:val="000000"/>
                            <w:kern w:val="24"/>
                          </w:rPr>
                          <w:t>(</w:t>
                        </w:r>
                        <w:r>
                          <w:rPr>
                            <w:rFonts w:ascii="等线" w:eastAsia="等线" w:cs="Times New Roman" w:hint="eastAsia"/>
                            <w:color w:val="000000"/>
                            <w:kern w:val="24"/>
                          </w:rPr>
                          <w:t>按使用材料直接计入</w:t>
                        </w:r>
                        <w:r>
                          <w:rPr>
                            <w:rFonts w:ascii="等线" w:eastAsia="等线" w:hAnsi="Calibri" w:cs="Times New Roman"/>
                            <w:color w:val="000000"/>
                            <w:kern w:val="24"/>
                          </w:rPr>
                          <w:t>)</w:t>
                        </w:r>
                      </w:p>
                    </w:txbxContent>
                  </v:textbox>
                </v:shape>
                <v:shape id="TextBox 11" o:spid="_x0000_s1033" type="#_x0000_t202" style="position:absolute;left:17101;top:12038;width:12397;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JMMA&#10;AADbAAAADwAAAGRycy9kb3ducmV2LnhtbESPT4vCMBTE74LfITzBm6brgpZuUxH/gHgQdMXzs3nb&#10;dm1eSpPV+u2NIOxxmJnfMOm8M7W4Uesqywo+xhEI4tzqigsFp+/NKAbhPLLG2jIpeJCDedbvpZho&#10;e+cD3Y6+EAHCLkEFpfdNIqXLSzLoxrYhDt6PbQ36INtC6hbvAW5qOYmiqTRYcVgosaFlSfn1+GcU&#10;zOLNSk+Yrjta5evLYm/O51+j1HDQLb5AeOr8f/jd3moFnzN4fQ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zJMMAAADbAAAADwAAAAAAAAAAAAAAAACYAgAAZHJzL2Rv&#10;d25yZXYueG1sUEsFBgAAAAAEAAQA9QAAAIgDAAAAAA==&#10;" filled="f" stroked="f">
                  <v:path arrowok="t"/>
                  <v:textbox style="mso-fit-shape-to-text:t">
                    <w:txbxContent>
                      <w:p w:rsidR="00F8255F" w:rsidRDefault="00F8255F">
                        <w:pPr>
                          <w:ind w:firstLine="420"/>
                          <w:rPr>
                            <w:color w:val="000000"/>
                            <w:sz w:val="24"/>
                          </w:rPr>
                        </w:pPr>
                        <w:r>
                          <w:rPr>
                            <w:rFonts w:hint="eastAsia"/>
                            <w:color w:val="000000"/>
                            <w:sz w:val="24"/>
                          </w:rPr>
                          <w:t>间接成本（无法直接计入，需要分摊计入）</w:t>
                        </w:r>
                      </w:p>
                    </w:txbxContent>
                  </v:textbox>
                </v:shape>
              </v:group>
            </w:pict>
          </mc:Fallback>
        </mc:AlternateContent>
      </w:r>
    </w:p>
    <w:p w:rsidR="002C02E6" w:rsidRDefault="002C02E6">
      <w:pPr>
        <w:rPr>
          <w:rStyle w:val="3Char"/>
          <w:rFonts w:ascii="宋体" w:hAnsi="宋体" w:cs="宋体"/>
          <w:b w:val="0"/>
          <w:bCs w:val="0"/>
          <w:sz w:val="28"/>
          <w:szCs w:val="28"/>
        </w:rPr>
      </w:pPr>
    </w:p>
    <w:p w:rsidR="002C02E6" w:rsidRDefault="002C02E6">
      <w:pPr>
        <w:rPr>
          <w:rStyle w:val="3Char"/>
          <w:rFonts w:ascii="宋体" w:hAnsi="宋体" w:cs="宋体"/>
          <w:b w:val="0"/>
          <w:bCs w:val="0"/>
          <w:sz w:val="28"/>
          <w:szCs w:val="28"/>
        </w:rPr>
      </w:pPr>
    </w:p>
    <w:p w:rsidR="002C02E6" w:rsidRDefault="002C02E6">
      <w:pPr>
        <w:rPr>
          <w:rStyle w:val="3Char"/>
          <w:rFonts w:ascii="宋体" w:hAnsi="宋体" w:cs="宋体"/>
          <w:b w:val="0"/>
          <w:bCs w:val="0"/>
          <w:sz w:val="28"/>
          <w:szCs w:val="28"/>
        </w:rPr>
      </w:pPr>
    </w:p>
    <w:p w:rsidR="002C02E6" w:rsidRDefault="002C02E6">
      <w:pPr>
        <w:rPr>
          <w:rFonts w:ascii="宋体" w:hAnsi="宋体" w:cs="宋体"/>
          <w:sz w:val="24"/>
          <w:szCs w:val="24"/>
        </w:rPr>
      </w:pPr>
    </w:p>
    <w:p w:rsidR="002C02E6" w:rsidRDefault="002C02E6">
      <w:pPr>
        <w:ind w:firstLine="420"/>
        <w:rPr>
          <w:color w:val="000000"/>
          <w:sz w:val="24"/>
        </w:rPr>
      </w:pP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不收费卫生材料费（或药品）成本按照以下公式计算：</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不收费</w:t>
      </w:r>
      <w:r>
        <w:rPr>
          <w:rFonts w:ascii="仿宋_GB2312" w:eastAsia="仿宋_GB2312" w:hint="eastAsia"/>
          <w:sz w:val="32"/>
          <w:szCs w:val="32"/>
        </w:rPr>
        <w:t>卫生材料费（或药品费）</w:t>
      </w:r>
      <w:r>
        <w:rPr>
          <w:rFonts w:ascii="仿宋_GB2312" w:eastAsia="仿宋_GB2312"/>
          <w:sz w:val="32"/>
          <w:szCs w:val="32"/>
        </w:rPr>
        <w:t>=</w:t>
      </w:r>
      <w:r>
        <w:rPr>
          <w:rFonts w:ascii="仿宋_GB2312" w:eastAsia="仿宋_GB2312" w:hint="eastAsia"/>
          <w:sz w:val="32"/>
          <w:szCs w:val="32"/>
        </w:rPr>
        <w:t>卫生材料费（或药品费）</w:t>
      </w:r>
      <w:r>
        <w:rPr>
          <w:rFonts w:ascii="仿宋_GB2312" w:eastAsia="仿宋_GB2312"/>
          <w:sz w:val="32"/>
          <w:szCs w:val="32"/>
        </w:rPr>
        <w:t>-</w:t>
      </w:r>
      <w:r>
        <w:rPr>
          <w:rFonts w:ascii="仿宋_GB2312" w:eastAsia="仿宋_GB2312" w:hint="eastAsia"/>
          <w:sz w:val="32"/>
          <w:szCs w:val="32"/>
        </w:rPr>
        <w:t>收费卫生材料费（或药品费）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不收费卫生材料分摊成本</w:t>
      </w:r>
      <w:r>
        <w:rPr>
          <w:rFonts w:ascii="仿宋_GB2312" w:eastAsia="仿宋_GB2312"/>
          <w:sz w:val="32"/>
          <w:szCs w:val="32"/>
        </w:rPr>
        <w:t>=</w:t>
      </w:r>
      <w:r>
        <w:rPr>
          <w:rFonts w:ascii="仿宋_GB2312" w:eastAsia="仿宋_GB2312" w:hint="eastAsia"/>
          <w:sz w:val="32"/>
          <w:szCs w:val="32"/>
        </w:rPr>
        <w:t>不收费卫生材料费（或药品费）</w:t>
      </w:r>
      <w:r>
        <w:rPr>
          <w:rFonts w:ascii="仿宋_GB2312" w:eastAsia="仿宋_GB2312"/>
          <w:sz w:val="32"/>
          <w:szCs w:val="32"/>
        </w:rPr>
        <w:t xml:space="preserve">- </w:t>
      </w:r>
      <w:r>
        <w:rPr>
          <w:rFonts w:ascii="仿宋_GB2312" w:eastAsia="仿宋_GB2312" w:hint="eastAsia"/>
          <w:sz w:val="32"/>
          <w:szCs w:val="32"/>
        </w:rPr>
        <w:t>不收费卫生材料直接成本（或药品费）</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固定资产折旧也要进一步细分，能够具体到每一个项目的作为直接成本计算计入，无法具体到每一个项目作为间接成本分摊计入。</w:t>
      </w:r>
    </w:p>
    <w:p w:rsidR="002C02E6" w:rsidRDefault="00C917C2">
      <w:pPr>
        <w:rPr>
          <w:rStyle w:val="3Char"/>
          <w:rFonts w:ascii="宋体" w:hAnsi="宋体" w:cs="宋体"/>
          <w:b w:val="0"/>
          <w:bCs w:val="0"/>
          <w:sz w:val="24"/>
          <w:szCs w:val="24"/>
        </w:rPr>
      </w:pPr>
      <w:r>
        <w:rPr>
          <w:rFonts w:ascii="宋体" w:hAnsi="宋体" w:cs="宋体"/>
          <w:noProof/>
          <w:sz w:val="28"/>
          <w:szCs w:val="28"/>
        </w:rPr>
        <mc:AlternateContent>
          <mc:Choice Requires="wpg">
            <w:drawing>
              <wp:anchor distT="0" distB="0" distL="114300" distR="114300" simplePos="0" relativeHeight="251652608" behindDoc="0" locked="0" layoutInCell="1" allowOverlap="1">
                <wp:simplePos x="0" y="0"/>
                <wp:positionH relativeFrom="column">
                  <wp:posOffset>748030</wp:posOffset>
                </wp:positionH>
                <wp:positionV relativeFrom="paragraph">
                  <wp:posOffset>188595</wp:posOffset>
                </wp:positionV>
                <wp:extent cx="3808095" cy="1430020"/>
                <wp:effectExtent l="0" t="0" r="0" b="0"/>
                <wp:wrapNone/>
                <wp:docPr id="25"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430020"/>
                          <a:chOff x="0" y="0"/>
                          <a:chExt cx="38083" cy="14153"/>
                        </a:xfrm>
                      </wpg:grpSpPr>
                      <wps:wsp>
                        <wps:cNvPr id="26" name="TextBox 12"/>
                        <wps:cNvSpPr txBox="1">
                          <a:spLocks/>
                        </wps:cNvSpPr>
                        <wps:spPr bwMode="auto">
                          <a:xfrm>
                            <a:off x="0" y="4682"/>
                            <a:ext cx="11418" cy="4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pPr>
                              <w:r>
                                <w:rPr>
                                  <w:rFonts w:ascii="等线" w:eastAsia="等线" w:cs="Times New Roman" w:hint="eastAsia"/>
                                  <w:color w:val="000000"/>
                                  <w:kern w:val="24"/>
                                </w:rPr>
                                <w:t>固定资产折旧</w:t>
                              </w:r>
                            </w:p>
                          </w:txbxContent>
                        </wps:txbx>
                        <wps:bodyPr rot="0" vert="horz" wrap="square" lIns="91440" tIns="45720" rIns="91440" bIns="45720" anchor="t" anchorCtr="0" upright="1">
                          <a:spAutoFit/>
                        </wps:bodyPr>
                      </wps:wsp>
                      <wps:wsp>
                        <wps:cNvPr id="27" name="左大括号 56"/>
                        <wps:cNvSpPr>
                          <a:spLocks/>
                        </wps:cNvSpPr>
                        <wps:spPr bwMode="auto">
                          <a:xfrm>
                            <a:off x="12479" y="1341"/>
                            <a:ext cx="2926" cy="9875"/>
                          </a:xfrm>
                          <a:prstGeom prst="leftBrace">
                            <a:avLst>
                              <a:gd name="adj1" fmla="val 8328"/>
                              <a:gd name="adj2" fmla="val 50000"/>
                            </a:avLst>
                          </a:prstGeom>
                          <a:noFill/>
                          <a:ln w="9525">
                            <a:solidFill>
                              <a:srgbClr val="3C6A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TextBox 14"/>
                        <wps:cNvSpPr txBox="1">
                          <a:spLocks/>
                        </wps:cNvSpPr>
                        <wps:spPr bwMode="auto">
                          <a:xfrm>
                            <a:off x="15711" y="0"/>
                            <a:ext cx="22372" cy="8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pPr>
                              <w:r>
                                <w:rPr>
                                  <w:rFonts w:ascii="等线" w:eastAsia="等线" w:cs="Times New Roman" w:hint="eastAsia"/>
                                  <w:color w:val="000000"/>
                                  <w:kern w:val="24"/>
                                </w:rPr>
                                <w:t>直接成本</w:t>
                              </w:r>
                              <w:r>
                                <w:rPr>
                                  <w:rFonts w:ascii="等线" w:eastAsia="等线" w:hAnsi="Calibri" w:cs="Times New Roman"/>
                                  <w:color w:val="000000"/>
                                  <w:kern w:val="24"/>
                                </w:rPr>
                                <w:t>(</w:t>
                              </w:r>
                              <w:r>
                                <w:rPr>
                                  <w:rFonts w:ascii="等线" w:eastAsia="等线" w:cs="Times New Roman" w:hint="eastAsia"/>
                                  <w:color w:val="000000"/>
                                  <w:kern w:val="24"/>
                                </w:rPr>
                                <w:t>按项目使用设备计算计入项目成本</w:t>
                              </w:r>
                              <w:r>
                                <w:rPr>
                                  <w:rFonts w:ascii="等线" w:eastAsia="等线" w:hAnsi="Calibri" w:cs="Times New Roman"/>
                                  <w:color w:val="000000"/>
                                  <w:kern w:val="24"/>
                                </w:rPr>
                                <w:t>)</w:t>
                              </w:r>
                            </w:p>
                          </w:txbxContent>
                        </wps:txbx>
                        <wps:bodyPr rot="0" vert="horz" wrap="square" lIns="91440" tIns="45720" rIns="91440" bIns="45720" anchor="t" anchorCtr="0" upright="1">
                          <a:spAutoFit/>
                        </wps:bodyPr>
                      </wps:wsp>
                      <wps:wsp>
                        <wps:cNvPr id="29" name="TextBox 15"/>
                        <wps:cNvSpPr txBox="1">
                          <a:spLocks/>
                        </wps:cNvSpPr>
                        <wps:spPr bwMode="auto">
                          <a:xfrm>
                            <a:off x="15469" y="9326"/>
                            <a:ext cx="21217" cy="4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2E6" w:rsidRDefault="00C917C2">
                              <w:pPr>
                                <w:pStyle w:val="a9"/>
                                <w:spacing w:before="0" w:beforeAutospacing="0" w:after="0" w:afterAutospacing="0"/>
                              </w:pPr>
                              <w:r>
                                <w:rPr>
                                  <w:rFonts w:ascii="等线" w:eastAsia="等线" w:cs="Times New Roman" w:hint="eastAsia"/>
                                  <w:color w:val="000000"/>
                                  <w:kern w:val="24"/>
                                </w:rPr>
                                <w:t>间接成本</w:t>
                              </w:r>
                              <w:r>
                                <w:rPr>
                                  <w:rFonts w:ascii="等线" w:eastAsia="等线" w:hAnsi="Calibri" w:cs="Times New Roman"/>
                                  <w:color w:val="000000"/>
                                  <w:kern w:val="24"/>
                                </w:rPr>
                                <w:t>(</w:t>
                              </w:r>
                              <w:r>
                                <w:rPr>
                                  <w:rFonts w:ascii="等线" w:eastAsia="等线" w:cs="Times New Roman" w:hint="eastAsia"/>
                                  <w:color w:val="000000"/>
                                  <w:kern w:val="24"/>
                                </w:rPr>
                                <w:t>分摊计入</w:t>
                              </w:r>
                              <w:r>
                                <w:rPr>
                                  <w:rFonts w:ascii="等线" w:eastAsia="等线" w:hAnsi="Calibri" w:cs="Times New Roman"/>
                                  <w:color w:val="000000"/>
                                  <w:kern w:val="24"/>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id="组合 17" o:spid="_x0000_s1034" style="position:absolute;left:0;text-align:left;margin-left:58.9pt;margin-top:14.85pt;width:299.85pt;height:112.6pt;z-index:251652608" coordsize="38083,1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">
                <v:shape id="TextBox 12" o:spid="_x0000_s1035" type="#_x0000_t202" style="position:absolute;top:4682;width:11418;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AYsIA&#10;AADbAAAADwAAAGRycy9kb3ducmV2LnhtbESPS6vCMBSE9xf8D+EI7q6pXahUo4gPEBeCD7o+Nse2&#10;2pyUJmr990a4cJfDzHzDTOetqcSTGldaVjDoRyCIM6tLzhWcT5vfMQjnkTVWlknBmxzMZ52fKSba&#10;vvhAz6PPRYCwS1BB4X2dSOmyggy6vq2Jg3e1jUEfZJNL3eArwE0l4ygaSoMlh4UCa1oWlN2PD6Ng&#10;NN6sdMx039EqW18We5OmN6NUr9suJiA8tf4//NfeagXxEL5fwg+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4BiwgAAANsAAAAPAAAAAAAAAAAAAAAAAJgCAABkcnMvZG93&#10;bnJldi54bWxQSwUGAAAAAAQABAD1AAAAhwMAAAAA&#10;" filled="f" stroked="f">
                  <v:path arrowok="t"/>
                  <v:textbox style="mso-fit-shape-to-text:t">
                    <w:txbxContent>
                      <w:p w:rsidR="00F8255F" w:rsidRDefault="00F8255F">
                        <w:pPr>
                          <w:pStyle w:val="a9"/>
                          <w:spacing w:before="0" w:beforeAutospacing="0" w:after="0" w:afterAutospacing="0"/>
                        </w:pPr>
                        <w:r>
                          <w:rPr>
                            <w:rFonts w:ascii="等线" w:eastAsia="等线" w:cs="Times New Roman" w:hint="eastAsia"/>
                            <w:color w:val="000000"/>
                            <w:kern w:val="24"/>
                          </w:rPr>
                          <w:t>固定资产折旧</w:t>
                        </w:r>
                      </w:p>
                    </w:txbxContent>
                  </v:textbox>
                </v:shape>
                <v:shape id="左大括号 56" o:spid="_x0000_s1036" type="#_x0000_t87" style="position:absolute;left:12479;top:1341;width:2926;height: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5XsQA&#10;AADbAAAADwAAAGRycy9kb3ducmV2LnhtbESPQUvDQBSE74L/YXmCF2k3hqIl7bZIQfQk2BR7fWRf&#10;k9C8t3F3TVN/fVcQehxm5htmuR65UwP50Dox8DjNQJFUzrZSG9iVr5M5qBBRLHZOyMCZAqxXtzdL&#10;LKw7yScN21irBJFQoIEmxr7QOlQNMYap60mSd3CeMSbpa209nhKcO51n2ZNmbCUtNNjTpqHquP1h&#10;A7+bcf/lHz6+z5TTwG/Ms7LMjbm/G18WoCKN8Rr+b79bA/kz/H1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eV7EAAAA2wAAAA8AAAAAAAAAAAAAAAAAmAIAAGRycy9k&#10;b3ducmV2LnhtbFBLBQYAAAAABAAEAPUAAACJAwAAAAA=&#10;" adj="533" strokecolor="#3c6abe"/>
                <v:shape id="TextBox 14" o:spid="_x0000_s1037" type="#_x0000_t202" style="position:absolute;left:15711;width:22372;height:8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xi7wA&#10;AADbAAAADwAAAGRycy9kb3ducmV2LnhtbERPyQrCMBC9C/5DGMGbpvagUo0iLiAeBBc8j83YVptJ&#10;aaLWvzcHwePj7dN5Y0rxotoVlhUM+hEI4tTqgjMF59OmNwbhPLLG0jIp+JCD+azdmmKi7ZsP9Dr6&#10;TIQQdgkqyL2vEildmpNB17cVceButjboA6wzqWt8h3BTyjiKhtJgwaEhx4qWOaWP49MoGI03Kx0z&#10;PXa0StfXxd5cLnejVLfTLCYgPDX+L/65t1pBHMaG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qLGLvAAAANsAAAAPAAAAAAAAAAAAAAAAAJgCAABkcnMvZG93bnJldi54&#10;bWxQSwUGAAAAAAQABAD1AAAAgQMAAAAA&#10;" filled="f" stroked="f">
                  <v:path arrowok="t"/>
                  <v:textbox style="mso-fit-shape-to-text:t">
                    <w:txbxContent>
                      <w:p w:rsidR="00F8255F" w:rsidRDefault="00F8255F">
                        <w:pPr>
                          <w:pStyle w:val="a9"/>
                          <w:spacing w:before="0" w:beforeAutospacing="0" w:after="0" w:afterAutospacing="0"/>
                        </w:pPr>
                        <w:r>
                          <w:rPr>
                            <w:rFonts w:ascii="等线" w:eastAsia="等线" w:cs="Times New Roman" w:hint="eastAsia"/>
                            <w:color w:val="000000"/>
                            <w:kern w:val="24"/>
                          </w:rPr>
                          <w:t>直接成本</w:t>
                        </w:r>
                        <w:r>
                          <w:rPr>
                            <w:rFonts w:ascii="等线" w:eastAsia="等线" w:hAnsi="Calibri" w:cs="Times New Roman"/>
                            <w:color w:val="000000"/>
                            <w:kern w:val="24"/>
                          </w:rPr>
                          <w:t>(</w:t>
                        </w:r>
                        <w:r>
                          <w:rPr>
                            <w:rFonts w:ascii="等线" w:eastAsia="等线" w:cs="Times New Roman" w:hint="eastAsia"/>
                            <w:color w:val="000000"/>
                            <w:kern w:val="24"/>
                          </w:rPr>
                          <w:t>按项目使用设备计算计入项目成本</w:t>
                        </w:r>
                        <w:r>
                          <w:rPr>
                            <w:rFonts w:ascii="等线" w:eastAsia="等线" w:hAnsi="Calibri" w:cs="Times New Roman"/>
                            <w:color w:val="000000"/>
                            <w:kern w:val="24"/>
                          </w:rPr>
                          <w:t>)</w:t>
                        </w:r>
                      </w:p>
                    </w:txbxContent>
                  </v:textbox>
                </v:shape>
                <v:shape id="TextBox 15" o:spid="_x0000_s1038" type="#_x0000_t202" style="position:absolute;left:15469;top:9326;width:21217;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UEMQA&#10;AADbAAAADwAAAGRycy9kb3ducmV2LnhtbESPQWvCQBSE7wX/w/KE3ppNc7AxugapFUoPQrXk/Jp9&#10;Jmmyb0N2Nem/7woFj8PMfMOs88l04kqDaywreI5iEMSl1Q1XCr5O+6cUhPPIGjvLpOCXHOSb2cMa&#10;M21H/qTr0VciQNhlqKD2vs+kdGVNBl1ke+Lgne1g0Ac5VFIPOAa46WQSxwtpsOGwUGNPrzWV7fFi&#10;FLyk+51OmNoP2pVv39uDKYofo9TjfNquQHia/D38337XCpIl3L6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FBDEAAAA2wAAAA8AAAAAAAAAAAAAAAAAmAIAAGRycy9k&#10;b3ducmV2LnhtbFBLBQYAAAAABAAEAPUAAACJAwAAAAA=&#10;" filled="f" stroked="f">
                  <v:path arrowok="t"/>
                  <v:textbox style="mso-fit-shape-to-text:t">
                    <w:txbxContent>
                      <w:p w:rsidR="00F8255F" w:rsidRDefault="00F8255F">
                        <w:pPr>
                          <w:pStyle w:val="a9"/>
                          <w:spacing w:before="0" w:beforeAutospacing="0" w:after="0" w:afterAutospacing="0"/>
                        </w:pPr>
                        <w:r>
                          <w:rPr>
                            <w:rFonts w:ascii="等线" w:eastAsia="等线" w:cs="Times New Roman" w:hint="eastAsia"/>
                            <w:color w:val="000000"/>
                            <w:kern w:val="24"/>
                          </w:rPr>
                          <w:t>间接成本</w:t>
                        </w:r>
                        <w:r>
                          <w:rPr>
                            <w:rFonts w:ascii="等线" w:eastAsia="等线" w:hAnsi="Calibri" w:cs="Times New Roman"/>
                            <w:color w:val="000000"/>
                            <w:kern w:val="24"/>
                          </w:rPr>
                          <w:t>(</w:t>
                        </w:r>
                        <w:r>
                          <w:rPr>
                            <w:rFonts w:ascii="等线" w:eastAsia="等线" w:cs="Times New Roman" w:hint="eastAsia"/>
                            <w:color w:val="000000"/>
                            <w:kern w:val="24"/>
                          </w:rPr>
                          <w:t>分摊计入</w:t>
                        </w:r>
                        <w:r>
                          <w:rPr>
                            <w:rFonts w:ascii="等线" w:eastAsia="等线" w:hAnsi="Calibri" w:cs="Times New Roman"/>
                            <w:color w:val="000000"/>
                            <w:kern w:val="24"/>
                          </w:rPr>
                          <w:t>)</w:t>
                        </w:r>
                      </w:p>
                    </w:txbxContent>
                  </v:textbox>
                </v:shape>
              </v:group>
            </w:pict>
          </mc:Fallback>
        </mc:AlternateContent>
      </w:r>
    </w:p>
    <w:p w:rsidR="002C02E6" w:rsidRDefault="002C02E6">
      <w:pPr>
        <w:rPr>
          <w:rStyle w:val="3Char"/>
          <w:rFonts w:ascii="宋体" w:hAnsi="宋体" w:cs="宋体"/>
          <w:b w:val="0"/>
          <w:bCs w:val="0"/>
          <w:sz w:val="28"/>
          <w:szCs w:val="28"/>
        </w:rPr>
      </w:pPr>
    </w:p>
    <w:p w:rsidR="002C02E6" w:rsidRDefault="002C02E6">
      <w:pPr>
        <w:rPr>
          <w:rStyle w:val="3Char"/>
          <w:rFonts w:ascii="宋体" w:hAnsi="宋体" w:cs="宋体"/>
          <w:b w:val="0"/>
          <w:bCs w:val="0"/>
          <w:sz w:val="28"/>
          <w:szCs w:val="28"/>
        </w:rPr>
      </w:pPr>
    </w:p>
    <w:p w:rsidR="002C02E6" w:rsidRDefault="002C02E6">
      <w:pPr>
        <w:ind w:firstLine="420"/>
        <w:rPr>
          <w:color w:val="000000"/>
          <w:sz w:val="24"/>
        </w:rPr>
      </w:pPr>
    </w:p>
    <w:p w:rsidR="002C02E6" w:rsidRDefault="002C02E6">
      <w:pPr>
        <w:ind w:firstLine="420"/>
        <w:rPr>
          <w:color w:val="000000"/>
          <w:sz w:val="24"/>
        </w:rPr>
      </w:pP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固定资产折旧间接成本</w:t>
      </w:r>
      <w:r>
        <w:rPr>
          <w:rFonts w:ascii="仿宋_GB2312" w:eastAsia="仿宋_GB2312"/>
          <w:sz w:val="32"/>
          <w:szCs w:val="32"/>
        </w:rPr>
        <w:t>按照以下公式计算：</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固定资产折旧间接分摊成本</w:t>
      </w:r>
      <w:r>
        <w:rPr>
          <w:rFonts w:ascii="仿宋_GB2312" w:eastAsia="仿宋_GB2312"/>
          <w:sz w:val="32"/>
          <w:szCs w:val="32"/>
        </w:rPr>
        <w:t>=</w:t>
      </w:r>
      <w:r>
        <w:rPr>
          <w:rFonts w:ascii="仿宋_GB2312" w:eastAsia="仿宋_GB2312" w:hint="eastAsia"/>
          <w:sz w:val="32"/>
          <w:szCs w:val="32"/>
        </w:rPr>
        <w:t>固定资产折旧费</w:t>
      </w:r>
      <w:r>
        <w:rPr>
          <w:rFonts w:ascii="仿宋_GB2312" w:eastAsia="仿宋_GB2312"/>
          <w:sz w:val="32"/>
          <w:szCs w:val="32"/>
        </w:rPr>
        <w:t>-</w:t>
      </w:r>
      <w:r>
        <w:rPr>
          <w:rFonts w:ascii="仿宋_GB2312" w:eastAsia="仿宋_GB2312" w:hint="eastAsia"/>
          <w:sz w:val="32"/>
          <w:szCs w:val="32"/>
        </w:rPr>
        <w:t>固定资产折旧费直接计入成本</w:t>
      </w:r>
    </w:p>
    <w:p w:rsidR="002C02E6" w:rsidRDefault="00C917C2">
      <w:pPr>
        <w:spacing w:line="600" w:lineRule="exact"/>
        <w:ind w:firstLineChars="200" w:firstLine="640"/>
        <w:rPr>
          <w:rFonts w:ascii="仿宋_GB2312" w:eastAsia="仿宋_GB2312"/>
          <w:sz w:val="32"/>
          <w:szCs w:val="32"/>
        </w:rPr>
      </w:pPr>
      <w:bookmarkStart w:id="62" w:name="_Toc510947563"/>
      <w:r>
        <w:rPr>
          <w:rFonts w:ascii="仿宋_GB2312" w:eastAsia="仿宋_GB2312" w:hint="eastAsia"/>
          <w:sz w:val="32"/>
          <w:szCs w:val="32"/>
        </w:rPr>
        <w:lastRenderedPageBreak/>
        <w:t>c确定不同项目的处理方法</w:t>
      </w:r>
      <w:bookmarkEnd w:id="6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科室成本分类完成后，可以区别对待处理项目成本。对于人力成本按照作业成本法对每一个项目按折算后的工时计算项目成本。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对于不收费药品费、卫生材料费、固定资产折旧的直接成本采用计算后直接计入，间接成本采用分摊后计入的办法，分摊的方法可采用收入比等。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对于无形资产摊销费 、医疗风险基金和其他费用金额相对较小，可以采用分摊计入的方法，分摊方法采用收入比。</w:t>
      </w:r>
    </w:p>
    <w:p w:rsidR="002C02E6" w:rsidRDefault="00C917C2">
      <w:pPr>
        <w:spacing w:line="600" w:lineRule="exact"/>
        <w:ind w:firstLineChars="200" w:firstLine="640"/>
        <w:rPr>
          <w:rFonts w:ascii="仿宋_GB2312" w:eastAsia="仿宋_GB2312"/>
          <w:sz w:val="32"/>
          <w:szCs w:val="32"/>
        </w:rPr>
      </w:pPr>
      <w:bookmarkStart w:id="63" w:name="_Toc510947564"/>
      <w:r>
        <w:rPr>
          <w:rFonts w:ascii="仿宋_GB2312" w:eastAsia="仿宋_GB2312" w:hint="eastAsia"/>
          <w:bCs/>
          <w:sz w:val="32"/>
          <w:szCs w:val="32"/>
        </w:rPr>
        <w:t>④计算项目成本</w:t>
      </w:r>
      <w:bookmarkEnd w:id="6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在上一节详细介绍了项目的作业设置及项目成本的计算方法，接下来计算机会按照设计好的业务逻辑进行计算，获得计算结果。</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63872" behindDoc="1" locked="0" layoutInCell="1" allowOverlap="1">
            <wp:simplePos x="0" y="0"/>
            <wp:positionH relativeFrom="column">
              <wp:posOffset>721995</wp:posOffset>
            </wp:positionH>
            <wp:positionV relativeFrom="paragraph">
              <wp:posOffset>16510</wp:posOffset>
            </wp:positionV>
            <wp:extent cx="4181475" cy="2762250"/>
            <wp:effectExtent l="0" t="0" r="0" b="0"/>
            <wp:wrapTight wrapText="bothSides">
              <wp:wrapPolygon edited="0">
                <wp:start x="0" y="0"/>
                <wp:lineTo x="0" y="21451"/>
                <wp:lineTo x="21551" y="21451"/>
                <wp:lineTo x="21551" y="0"/>
                <wp:lineTo x="0" y="0"/>
              </wp:wrapPolygon>
            </wp:wrapTight>
            <wp:docPr id="41"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14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2C02E6">
      <w:pPr>
        <w:spacing w:line="600" w:lineRule="exact"/>
        <w:ind w:firstLineChars="200" w:firstLine="643"/>
        <w:rPr>
          <w:rFonts w:ascii="仿宋_GB2312" w:eastAsia="仿宋_GB2312"/>
          <w:b/>
          <w:bCs/>
          <w:sz w:val="32"/>
          <w:szCs w:val="32"/>
        </w:rPr>
      </w:pPr>
      <w:bookmarkStart w:id="64" w:name="_Toc51094756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bCs/>
          <w:sz w:val="32"/>
          <w:szCs w:val="32"/>
        </w:rPr>
        <w:t>⑤展示项目成本</w:t>
      </w:r>
      <w:bookmarkEnd w:id="64"/>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项目成本计算完成后，一般按月按科室展示医疗服务项目的结果，图为呼吸内科测算的医疗服务项目的成本</w:t>
      </w:r>
    </w:p>
    <w:p w:rsidR="002C02E6" w:rsidRDefault="00C917C2">
      <w:pPr>
        <w:ind w:firstLine="420"/>
        <w:rPr>
          <w:rStyle w:val="3Char"/>
          <w:b w:val="0"/>
          <w:sz w:val="24"/>
          <w:szCs w:val="24"/>
        </w:rPr>
      </w:pPr>
      <w:r>
        <w:rPr>
          <w:noProof/>
        </w:rPr>
        <w:drawing>
          <wp:inline distT="0" distB="0" distL="0" distR="0">
            <wp:extent cx="5278120" cy="3136900"/>
            <wp:effectExtent l="0" t="0" r="0" b="0"/>
            <wp:docPr id="2"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136900"/>
                    </a:xfrm>
                    <a:prstGeom prst="rect">
                      <a:avLst/>
                    </a:prstGeom>
                    <a:noFill/>
                    <a:ln>
                      <a:noFill/>
                    </a:ln>
                  </pic:spPr>
                </pic:pic>
              </a:graphicData>
            </a:graphic>
          </wp:inline>
        </w:drawing>
      </w:r>
    </w:p>
    <w:p w:rsidR="002C02E6" w:rsidRDefault="002C02E6">
      <w:pPr>
        <w:ind w:firstLine="420"/>
        <w:rPr>
          <w:rStyle w:val="3Char"/>
          <w:b w:val="0"/>
          <w:sz w:val="24"/>
          <w:szCs w:val="24"/>
        </w:rPr>
      </w:pPr>
    </w:p>
    <w:p w:rsidR="002C02E6" w:rsidRDefault="00C917C2">
      <w:pPr>
        <w:ind w:firstLine="420"/>
        <w:rPr>
          <w:color w:val="000000"/>
          <w:sz w:val="24"/>
          <w:szCs w:val="24"/>
        </w:rPr>
      </w:pPr>
      <w:r>
        <w:rPr>
          <w:rFonts w:hint="eastAsia"/>
          <w:color w:val="000000"/>
          <w:sz w:val="24"/>
          <w:szCs w:val="24"/>
        </w:rPr>
        <w:t>也可以查询每一个项目在不同科室的成本情况：</w:t>
      </w:r>
    </w:p>
    <w:p w:rsidR="002C02E6" w:rsidRDefault="00C917C2">
      <w:pPr>
        <w:widowControl/>
        <w:ind w:leftChars="202" w:left="424"/>
        <w:jc w:val="right"/>
      </w:pPr>
      <w:r>
        <w:rPr>
          <w:noProof/>
        </w:rPr>
        <w:drawing>
          <wp:inline distT="0" distB="0" distL="0" distR="0">
            <wp:extent cx="5270500" cy="3107690"/>
            <wp:effectExtent l="0" t="0" r="0" b="0"/>
            <wp:docPr id="3"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107690"/>
                    </a:xfrm>
                    <a:prstGeom prst="rect">
                      <a:avLst/>
                    </a:prstGeom>
                    <a:noFill/>
                    <a:ln>
                      <a:noFill/>
                    </a:ln>
                  </pic:spPr>
                </pic:pic>
              </a:graphicData>
            </a:graphic>
          </wp:inline>
        </w:drawing>
      </w:r>
    </w:p>
    <w:p w:rsidR="002C02E6" w:rsidRDefault="00C917C2">
      <w:pPr>
        <w:pStyle w:val="4"/>
        <w:ind w:firstLine="640"/>
        <w:rPr>
          <w:rFonts w:ascii="仿宋_GB2312" w:eastAsia="仿宋_GB2312"/>
          <w:sz w:val="32"/>
          <w:szCs w:val="32"/>
        </w:rPr>
      </w:pPr>
      <w:r>
        <w:rPr>
          <w:rFonts w:ascii="仿宋_GB2312" w:eastAsia="仿宋_GB2312" w:hint="eastAsia"/>
          <w:sz w:val="32"/>
          <w:szCs w:val="32"/>
        </w:rPr>
        <w:t>3.病种成本核算</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《医院财务制度》规定病种成本是以病种为核算对象，按一</w:t>
      </w:r>
      <w:r>
        <w:rPr>
          <w:rFonts w:ascii="仿宋_GB2312" w:eastAsia="仿宋_GB2312" w:hint="eastAsia"/>
          <w:sz w:val="32"/>
          <w:szCs w:val="32"/>
        </w:rPr>
        <w:lastRenderedPageBreak/>
        <w:t>定流程和方法归集相关费用计算病种成本的过程。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2017年年初，</w:t>
      </w:r>
      <w:proofErr w:type="gramStart"/>
      <w:r>
        <w:rPr>
          <w:rFonts w:ascii="仿宋_GB2312" w:eastAsia="仿宋_GB2312" w:hint="eastAsia"/>
          <w:sz w:val="32"/>
          <w:szCs w:val="32"/>
        </w:rPr>
        <w:t>国家发改委</w:t>
      </w:r>
      <w:proofErr w:type="gramEnd"/>
      <w:r>
        <w:rPr>
          <w:rFonts w:ascii="仿宋_GB2312" w:eastAsia="仿宋_GB2312" w:hint="eastAsia"/>
          <w:sz w:val="32"/>
          <w:szCs w:val="32"/>
        </w:rPr>
        <w:t>、卫计委、</w:t>
      </w:r>
      <w:proofErr w:type="gramStart"/>
      <w:r>
        <w:rPr>
          <w:rFonts w:ascii="仿宋_GB2312" w:eastAsia="仿宋_GB2312" w:hint="eastAsia"/>
          <w:sz w:val="32"/>
          <w:szCs w:val="32"/>
        </w:rPr>
        <w:t>人社部</w:t>
      </w:r>
      <w:proofErr w:type="gramEnd"/>
      <w:r>
        <w:rPr>
          <w:rFonts w:ascii="仿宋_GB2312" w:eastAsia="仿宋_GB2312" w:hint="eastAsia"/>
          <w:sz w:val="32"/>
          <w:szCs w:val="32"/>
        </w:rPr>
        <w:t>三部委联合下发《关于推进按病种收费工作的通知》（国办发[</w:t>
      </w:r>
      <w:r>
        <w:rPr>
          <w:rFonts w:ascii="仿宋_GB2312" w:eastAsia="仿宋_GB2312"/>
          <w:sz w:val="32"/>
          <w:szCs w:val="32"/>
        </w:rPr>
        <w:t>2017]55</w:t>
      </w:r>
      <w:r>
        <w:rPr>
          <w:rFonts w:ascii="仿宋_GB2312" w:eastAsia="仿宋_GB2312" w:hint="eastAsia"/>
          <w:sz w:val="32"/>
          <w:szCs w:val="32"/>
        </w:rPr>
        <w:t>号），要求从2017年开始，全面推行以按病种付费为主的多元复合式</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保支付方式。各地要选择一定数量的病种实施按病种付费，国家选择部分地区开展按疾病诊断相关分组（DRGs）付费试点，到2020年，</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保支付方式改革覆盖所有医疗机构及医疗服务，按项目付费占比明显下降。</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w:t>
      </w:r>
      <w:proofErr w:type="gramStart"/>
      <w:r>
        <w:rPr>
          <w:rFonts w:ascii="仿宋_GB2312" w:eastAsia="仿宋_GB2312" w:hint="eastAsia"/>
          <w:sz w:val="32"/>
          <w:szCs w:val="32"/>
        </w:rPr>
        <w:t>医</w:t>
      </w:r>
      <w:proofErr w:type="gramEnd"/>
      <w:r>
        <w:rPr>
          <w:rFonts w:ascii="仿宋_GB2312" w:eastAsia="仿宋_GB2312" w:hint="eastAsia"/>
          <w:sz w:val="32"/>
          <w:szCs w:val="32"/>
        </w:rPr>
        <w:t>改的大背景下，推进病种成本核算重要性日益提高，是医院当前或下阶段需要重点推进的工作。首先通过病种成本核算，为单病种付费提供依据，也为</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保支付方式改革提供依据；站在医院的角度，也有利于和各类医疗保险经办机构建立公开、平等的谈判协商机制和风险分担机制；也有利于医院临床路径的实施，进一步提高医疗质量，提高医院的经济管理水平。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病种成本核算的方法</w:t>
      </w:r>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病种成本是以病种</w:t>
      </w:r>
      <w:r>
        <w:rPr>
          <w:rFonts w:ascii="仿宋_GB2312" w:eastAsia="仿宋_GB2312" w:hint="eastAsia"/>
          <w:sz w:val="32"/>
          <w:szCs w:val="32"/>
        </w:rPr>
        <w:t>作为成本核算对象，核算病种在治疗过程中的全成本。病种成本核算有历史成本调查法、临床路径核算法、项目叠加法等方法，按照《医院财务制度》要求，病种成本核算采用项目叠加法，也就是在计算项目成本的基础上，把某病种开展的收费项目的成本累加。计算公式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科室病种成本</w:t>
      </w:r>
      <w:r>
        <w:rPr>
          <w:rFonts w:ascii="仿宋_GB2312" w:eastAsia="仿宋_GB2312"/>
          <w:sz w:val="32"/>
          <w:szCs w:val="32"/>
        </w:rPr>
        <w:t xml:space="preserve">= </w:t>
      </w:r>
      <w:r>
        <w:rPr>
          <w:rFonts w:ascii="仿宋_GB2312" w:eastAsia="仿宋_GB2312"/>
          <w:sz w:val="32"/>
          <w:szCs w:val="32"/>
        </w:rPr>
        <w:t>∑</w:t>
      </w:r>
      <w:r>
        <w:rPr>
          <w:rFonts w:ascii="仿宋_GB2312" w:eastAsia="仿宋_GB2312" w:hint="eastAsia"/>
          <w:sz w:val="32"/>
          <w:szCs w:val="32"/>
        </w:rPr>
        <w:t>科室医疗项目成本</w:t>
      </w:r>
      <w:r>
        <w:rPr>
          <w:rFonts w:ascii="仿宋_GB2312" w:eastAsia="仿宋_GB2312"/>
          <w:sz w:val="32"/>
          <w:szCs w:val="32"/>
        </w:rPr>
        <w:t>+</w:t>
      </w:r>
      <w:r>
        <w:rPr>
          <w:rFonts w:ascii="仿宋_GB2312" w:eastAsia="仿宋_GB2312"/>
          <w:sz w:val="32"/>
          <w:szCs w:val="32"/>
        </w:rPr>
        <w:t>∑</w:t>
      </w:r>
      <w:proofErr w:type="gramStart"/>
      <w:r>
        <w:rPr>
          <w:rFonts w:ascii="仿宋_GB2312" w:eastAsia="仿宋_GB2312" w:hint="eastAsia"/>
          <w:sz w:val="32"/>
          <w:szCs w:val="32"/>
        </w:rPr>
        <w:t>单收费</w:t>
      </w:r>
      <w:proofErr w:type="gramEnd"/>
      <w:r>
        <w:rPr>
          <w:rFonts w:ascii="仿宋_GB2312" w:eastAsia="仿宋_GB2312" w:hint="eastAsia"/>
          <w:sz w:val="32"/>
          <w:szCs w:val="32"/>
        </w:rPr>
        <w:t>材料成本</w:t>
      </w:r>
      <w:r>
        <w:rPr>
          <w:rFonts w:ascii="仿宋_GB2312" w:eastAsia="仿宋_GB2312"/>
          <w:sz w:val="32"/>
          <w:szCs w:val="32"/>
        </w:rPr>
        <w:t>+</w:t>
      </w:r>
      <w:r>
        <w:rPr>
          <w:rFonts w:ascii="仿宋_GB2312" w:eastAsia="仿宋_GB2312"/>
          <w:sz w:val="32"/>
          <w:szCs w:val="32"/>
        </w:rPr>
        <w:t>∑</w:t>
      </w:r>
      <w:r>
        <w:rPr>
          <w:rFonts w:ascii="仿宋_GB2312" w:eastAsia="仿宋_GB2312" w:hint="eastAsia"/>
          <w:sz w:val="32"/>
          <w:szCs w:val="32"/>
        </w:rPr>
        <w:t>药品成本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医院病种成本</w:t>
      </w:r>
      <w:r>
        <w:rPr>
          <w:rFonts w:ascii="仿宋_GB2312" w:eastAsia="仿宋_GB2312"/>
          <w:sz w:val="32"/>
          <w:szCs w:val="32"/>
        </w:rPr>
        <w:t xml:space="preserve">= </w:t>
      </w:r>
      <w:r>
        <w:rPr>
          <w:rFonts w:ascii="仿宋_GB2312" w:eastAsia="仿宋_GB2312"/>
          <w:sz w:val="32"/>
          <w:szCs w:val="32"/>
        </w:rPr>
        <w:t>∑</w:t>
      </w:r>
      <w:r>
        <w:rPr>
          <w:rFonts w:ascii="仿宋_GB2312" w:eastAsia="仿宋_GB2312" w:hint="eastAsia"/>
          <w:sz w:val="32"/>
          <w:szCs w:val="32"/>
        </w:rPr>
        <w:t>医院医疗项目成本</w:t>
      </w:r>
      <w:r>
        <w:rPr>
          <w:rFonts w:ascii="仿宋_GB2312" w:eastAsia="仿宋_GB2312"/>
          <w:sz w:val="32"/>
          <w:szCs w:val="32"/>
        </w:rPr>
        <w:t>+</w:t>
      </w:r>
      <w:r>
        <w:rPr>
          <w:rFonts w:ascii="仿宋_GB2312" w:eastAsia="仿宋_GB2312"/>
          <w:sz w:val="32"/>
          <w:szCs w:val="32"/>
        </w:rPr>
        <w:t>∑</w:t>
      </w:r>
      <w:proofErr w:type="gramStart"/>
      <w:r>
        <w:rPr>
          <w:rFonts w:ascii="仿宋_GB2312" w:eastAsia="仿宋_GB2312" w:hint="eastAsia"/>
          <w:sz w:val="32"/>
          <w:szCs w:val="32"/>
        </w:rPr>
        <w:t>单收费</w:t>
      </w:r>
      <w:proofErr w:type="gramEnd"/>
      <w:r>
        <w:rPr>
          <w:rFonts w:ascii="仿宋_GB2312" w:eastAsia="仿宋_GB2312" w:hint="eastAsia"/>
          <w:sz w:val="32"/>
          <w:szCs w:val="32"/>
        </w:rPr>
        <w:t>材料成本</w:t>
      </w:r>
      <w:r>
        <w:rPr>
          <w:rFonts w:ascii="仿宋_GB2312" w:eastAsia="仿宋_GB2312"/>
          <w:sz w:val="32"/>
          <w:szCs w:val="32"/>
        </w:rPr>
        <w:t>+</w:t>
      </w:r>
      <w:r>
        <w:rPr>
          <w:rFonts w:ascii="仿宋_GB2312" w:eastAsia="仿宋_GB2312"/>
          <w:sz w:val="32"/>
          <w:szCs w:val="32"/>
        </w:rPr>
        <w:t>∑</w:t>
      </w:r>
      <w:r>
        <w:rPr>
          <w:rFonts w:ascii="仿宋_GB2312" w:eastAsia="仿宋_GB2312" w:hint="eastAsia"/>
          <w:sz w:val="32"/>
          <w:szCs w:val="32"/>
        </w:rPr>
        <w:t>药品成本</w:t>
      </w:r>
    </w:p>
    <w:p w:rsidR="002C02E6" w:rsidRDefault="00C917C2">
      <w:pPr>
        <w:spacing w:line="600" w:lineRule="exact"/>
        <w:ind w:firstLineChars="200" w:firstLine="640"/>
        <w:rPr>
          <w:rFonts w:ascii="仿宋_GB2312" w:eastAsia="仿宋_GB2312"/>
          <w:sz w:val="32"/>
          <w:szCs w:val="32"/>
        </w:rPr>
      </w:pPr>
      <w:bookmarkStart w:id="65" w:name="_Toc510947569"/>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病种成本核算的流程</w:t>
      </w:r>
      <w:bookmarkEnd w:id="65"/>
    </w:p>
    <w:p w:rsidR="002C02E6" w:rsidRDefault="00C917C2">
      <w:pPr>
        <w:spacing w:line="600" w:lineRule="exact"/>
        <w:ind w:firstLineChars="200" w:firstLine="640"/>
        <w:rPr>
          <w:rFonts w:ascii="仿宋_GB2312" w:eastAsia="仿宋_GB2312"/>
          <w:sz w:val="32"/>
          <w:szCs w:val="32"/>
        </w:rPr>
      </w:pPr>
      <w:bookmarkStart w:id="66" w:name="_Toc510947570"/>
      <w:r>
        <w:rPr>
          <w:rFonts w:ascii="仿宋_GB2312" w:eastAsia="仿宋_GB2312" w:hint="eastAsia"/>
          <w:bCs/>
          <w:sz w:val="32"/>
          <w:szCs w:val="32"/>
        </w:rPr>
        <w:t>①计算项目成本</w:t>
      </w:r>
      <w:bookmarkEnd w:id="66"/>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首先按照项目成本核算的基本流程完成</w:t>
      </w:r>
      <w:r>
        <w:rPr>
          <w:rFonts w:ascii="仿宋_GB2312" w:eastAsia="仿宋_GB2312" w:hint="eastAsia"/>
          <w:sz w:val="32"/>
          <w:szCs w:val="32"/>
        </w:rPr>
        <w:t>科室</w:t>
      </w:r>
      <w:r>
        <w:rPr>
          <w:rFonts w:ascii="仿宋_GB2312" w:eastAsia="仿宋_GB2312"/>
          <w:sz w:val="32"/>
          <w:szCs w:val="32"/>
        </w:rPr>
        <w:t>层面</w:t>
      </w:r>
      <w:r>
        <w:rPr>
          <w:rFonts w:ascii="仿宋_GB2312" w:eastAsia="仿宋_GB2312" w:hint="eastAsia"/>
          <w:sz w:val="32"/>
          <w:szCs w:val="32"/>
        </w:rPr>
        <w:t>和医院层面项目成本的核算，然后开始病种成本数据采集与核算过程。</w:t>
      </w:r>
    </w:p>
    <w:p w:rsidR="002C02E6" w:rsidRDefault="00C917C2">
      <w:pPr>
        <w:spacing w:line="600" w:lineRule="exact"/>
        <w:ind w:firstLineChars="200" w:firstLine="640"/>
        <w:rPr>
          <w:rFonts w:ascii="仿宋_GB2312" w:eastAsia="仿宋_GB2312"/>
          <w:sz w:val="32"/>
          <w:szCs w:val="32"/>
        </w:rPr>
      </w:pPr>
      <w:bookmarkStart w:id="67" w:name="_Toc510947571"/>
      <w:r>
        <w:rPr>
          <w:rFonts w:ascii="仿宋_GB2312" w:eastAsia="仿宋_GB2312" w:hint="eastAsia"/>
          <w:bCs/>
          <w:sz w:val="32"/>
          <w:szCs w:val="32"/>
        </w:rPr>
        <w:t>②数据采集病案</w:t>
      </w:r>
      <w:bookmarkEnd w:id="6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采集病案。病案即病人入院出院的基本信息。首先根据病案编目日期查询病案，病案包括了病人的病案号、住院次数、诊断名称、手术名称、出院日期、住院天数等各种信息，住院病案信息越丰富，疾病按诊断分组（DRGs）越准确。如图所示：</w:t>
      </w:r>
    </w:p>
    <w:p w:rsidR="002C02E6" w:rsidRDefault="00C917C2">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4896" behindDoc="1" locked="0" layoutInCell="1" allowOverlap="1">
            <wp:simplePos x="0" y="0"/>
            <wp:positionH relativeFrom="column">
              <wp:posOffset>227330</wp:posOffset>
            </wp:positionH>
            <wp:positionV relativeFrom="paragraph">
              <wp:posOffset>151130</wp:posOffset>
            </wp:positionV>
            <wp:extent cx="5272405" cy="1910080"/>
            <wp:effectExtent l="0" t="0" r="0" b="0"/>
            <wp:wrapTight wrapText="bothSides">
              <wp:wrapPolygon edited="0">
                <wp:start x="0" y="0"/>
                <wp:lineTo x="0" y="21327"/>
                <wp:lineTo x="21540" y="21327"/>
                <wp:lineTo x="21540" y="0"/>
                <wp:lineTo x="0" y="0"/>
              </wp:wrapPolygon>
            </wp:wrapTight>
            <wp:docPr id="4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40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第二，采集收费项目。收费项目是病人住院期间支出的明细，包括药费、诊查费、护理费、手术费、治疗费等项目。先按照编目日期进行查询，然后采集进入病种成本核算系统。</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65920" behindDoc="1" locked="0" layoutInCell="1" allowOverlap="1">
            <wp:simplePos x="0" y="0"/>
            <wp:positionH relativeFrom="column">
              <wp:posOffset>465455</wp:posOffset>
            </wp:positionH>
            <wp:positionV relativeFrom="paragraph">
              <wp:posOffset>-746760</wp:posOffset>
            </wp:positionV>
            <wp:extent cx="5267325" cy="1971675"/>
            <wp:effectExtent l="0" t="0" r="0" b="0"/>
            <wp:wrapTight wrapText="bothSides">
              <wp:wrapPolygon edited="0">
                <wp:start x="0" y="0"/>
                <wp:lineTo x="0" y="21496"/>
                <wp:lineTo x="21561" y="21496"/>
                <wp:lineTo x="21561" y="0"/>
                <wp:lineTo x="0" y="0"/>
              </wp:wrapPolygon>
            </wp:wrapTight>
            <wp:docPr id="44"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3"/>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8" w:name="_Toc510947572"/>
      <w:r>
        <w:rPr>
          <w:rFonts w:ascii="仿宋_GB2312" w:eastAsia="仿宋_GB2312" w:hint="eastAsia"/>
          <w:bCs/>
          <w:sz w:val="32"/>
          <w:szCs w:val="32"/>
        </w:rPr>
        <w:t>③计算病种成本</w:t>
      </w:r>
      <w:bookmarkEnd w:id="6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病案和病案相关的病人收费明细采集完成后，可以计算病种成本，一般分为三步：</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第一，计算不单独收费的药品和卫生材料费的成本。由于在4上文中已经计算完成了项目成本的计算，可以直接累加每个收费项目的成本，就是病种的成本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第二，计算单独收费的药品和卫生材料的成本。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第三，合并计算病种成本。</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计算机处理的病种成本计算图表为：</w:t>
      </w:r>
    </w:p>
    <w:p w:rsidR="002C02E6" w:rsidRDefault="00C917C2">
      <w:pPr>
        <w:spacing w:line="600" w:lineRule="exact"/>
        <w:ind w:firstLineChars="200" w:firstLine="420"/>
        <w:rPr>
          <w:rFonts w:ascii="仿宋_GB2312" w:eastAsia="仿宋_GB2312"/>
          <w:sz w:val="32"/>
          <w:szCs w:val="32"/>
        </w:rPr>
      </w:pPr>
      <w:r>
        <w:rPr>
          <w:noProof/>
        </w:rPr>
        <w:drawing>
          <wp:anchor distT="0" distB="0" distL="114300" distR="114300" simplePos="0" relativeHeight="251666944" behindDoc="1" locked="0" layoutInCell="1" allowOverlap="1">
            <wp:simplePos x="0" y="0"/>
            <wp:positionH relativeFrom="column">
              <wp:posOffset>411480</wp:posOffset>
            </wp:positionH>
            <wp:positionV relativeFrom="paragraph">
              <wp:posOffset>38100</wp:posOffset>
            </wp:positionV>
            <wp:extent cx="4746625" cy="2609850"/>
            <wp:effectExtent l="0" t="0" r="0" b="0"/>
            <wp:wrapTight wrapText="bothSides">
              <wp:wrapPolygon edited="0">
                <wp:start x="0" y="0"/>
                <wp:lineTo x="0" y="21442"/>
                <wp:lineTo x="21499" y="21442"/>
                <wp:lineTo x="21499" y="0"/>
                <wp:lineTo x="0" y="0"/>
              </wp:wrapPolygon>
            </wp:wrapTight>
            <wp:docPr id="45"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66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spacing w:line="600" w:lineRule="exact"/>
        <w:ind w:firstLineChars="200" w:firstLine="640"/>
        <w:rPr>
          <w:rFonts w:ascii="仿宋_GB2312" w:eastAsia="仿宋_GB2312"/>
          <w:sz w:val="32"/>
          <w:szCs w:val="32"/>
        </w:rPr>
      </w:pPr>
      <w:bookmarkStart w:id="69" w:name="_Toc510947573"/>
      <w:r>
        <w:rPr>
          <w:rFonts w:ascii="仿宋_GB2312" w:eastAsia="仿宋_GB2312" w:hint="eastAsia"/>
          <w:sz w:val="32"/>
          <w:szCs w:val="32"/>
        </w:rPr>
        <w:t>④病种成本核算结果的展示</w:t>
      </w:r>
      <w:bookmarkEnd w:id="69"/>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病种成本完成后，通过网站形式展示出来，供临床科室查阅：</w:t>
      </w:r>
    </w:p>
    <w:p w:rsidR="002C02E6" w:rsidRDefault="00C917C2">
      <w:pPr>
        <w:spacing w:line="600" w:lineRule="exact"/>
        <w:ind w:firstLineChars="200" w:firstLine="420"/>
        <w:rPr>
          <w:rFonts w:ascii="仿宋_GB2312" w:eastAsia="仿宋_GB2312"/>
          <w:sz w:val="32"/>
          <w:szCs w:val="32"/>
        </w:rPr>
      </w:pPr>
      <w:r>
        <w:rPr>
          <w:noProof/>
        </w:rPr>
        <w:lastRenderedPageBreak/>
        <w:drawing>
          <wp:anchor distT="0" distB="0" distL="114300" distR="114300" simplePos="0" relativeHeight="251667968" behindDoc="1" locked="0" layoutInCell="1" allowOverlap="1">
            <wp:simplePos x="0" y="0"/>
            <wp:positionH relativeFrom="column">
              <wp:posOffset>403225</wp:posOffset>
            </wp:positionH>
            <wp:positionV relativeFrom="paragraph">
              <wp:posOffset>66675</wp:posOffset>
            </wp:positionV>
            <wp:extent cx="5234305" cy="2786380"/>
            <wp:effectExtent l="0" t="0" r="0" b="0"/>
            <wp:wrapTight wrapText="bothSides">
              <wp:wrapPolygon edited="0">
                <wp:start x="0" y="0"/>
                <wp:lineTo x="0" y="21413"/>
                <wp:lineTo x="21540" y="21413"/>
                <wp:lineTo x="21540" y="0"/>
                <wp:lineTo x="0" y="0"/>
              </wp:wrapPolygon>
            </wp:wrapTight>
            <wp:docPr id="46"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30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2E6" w:rsidRDefault="00C917C2">
      <w:pPr>
        <w:pStyle w:val="3"/>
        <w:ind w:firstLine="643"/>
        <w:rPr>
          <w:rFonts w:ascii="仿宋_GB2312" w:eastAsia="仿宋_GB2312"/>
        </w:rPr>
      </w:pPr>
      <w:bookmarkStart w:id="70" w:name="_Toc517177975"/>
      <w:r>
        <w:rPr>
          <w:rFonts w:ascii="仿宋_GB2312" w:eastAsia="仿宋_GB2312" w:hint="eastAsia"/>
        </w:rPr>
        <w:t>（五）在实施过程中遇到的主要问题和解决方法</w:t>
      </w:r>
      <w:bookmarkEnd w:id="7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作业成本法在核算项目成本时较为复杂，要对所有的医疗服务项目按步骤划分作业难度较大，项目组按照成本效益原则将收费额低的项目设置为一个作业。</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同时采用作业成本法收集人员工时消耗等作业数据时需要全院所有临床科室的配合，难度较大，解决办法是能够采用国家标准的采用国家标准，没有国家标准的，按照适应性原则，设置合理的标准。</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病种成本处理基于每个病人，大型医院病种成本核算数据量太大，产生病</w:t>
      </w:r>
      <w:proofErr w:type="gramStart"/>
      <w:r>
        <w:rPr>
          <w:rFonts w:ascii="仿宋_GB2312" w:eastAsia="仿宋_GB2312" w:hint="eastAsia"/>
          <w:sz w:val="32"/>
          <w:szCs w:val="32"/>
        </w:rPr>
        <w:t>种成本</w:t>
      </w:r>
      <w:proofErr w:type="gramEnd"/>
      <w:r>
        <w:rPr>
          <w:rFonts w:ascii="仿宋_GB2312" w:eastAsia="仿宋_GB2312" w:hint="eastAsia"/>
          <w:sz w:val="32"/>
          <w:szCs w:val="32"/>
        </w:rPr>
        <w:t>耗时较长，按月所有科室开展难度很大，一般有选择性的科室开展。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需要建立强大的病种成本核算系统，实现</w:t>
      </w:r>
      <w:r>
        <w:rPr>
          <w:rFonts w:ascii="仿宋_GB2312" w:eastAsia="仿宋_GB2312"/>
          <w:sz w:val="32"/>
          <w:szCs w:val="32"/>
        </w:rPr>
        <w:t>His</w:t>
      </w:r>
      <w:r>
        <w:rPr>
          <w:rFonts w:ascii="仿宋_GB2312" w:eastAsia="仿宋_GB2312" w:hint="eastAsia"/>
          <w:sz w:val="32"/>
          <w:szCs w:val="32"/>
        </w:rPr>
        <w:t>系统和成本系统的一体化管理。要建立完善的协作机制，高效率的开展工作。</w:t>
      </w:r>
    </w:p>
    <w:p w:rsidR="002C02E6" w:rsidRDefault="00C917C2">
      <w:pPr>
        <w:pStyle w:val="2"/>
        <w:ind w:firstLine="643"/>
        <w:rPr>
          <w:rFonts w:ascii="黑体" w:eastAsia="黑体"/>
        </w:rPr>
      </w:pPr>
      <w:bookmarkStart w:id="71" w:name="_Toc517177976"/>
      <w:r>
        <w:rPr>
          <w:rFonts w:ascii="黑体" w:eastAsia="黑体" w:hint="eastAsia"/>
        </w:rPr>
        <w:lastRenderedPageBreak/>
        <w:t>四、取得成效</w:t>
      </w:r>
      <w:bookmarkEnd w:id="7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分析相关管理会计工具方法应用后取得的管理改进效果，此部分内容包括：</w:t>
      </w:r>
    </w:p>
    <w:p w:rsidR="002C02E6" w:rsidRDefault="00C917C2">
      <w:pPr>
        <w:pStyle w:val="3"/>
        <w:ind w:firstLine="643"/>
        <w:rPr>
          <w:rFonts w:ascii="仿宋_GB2312" w:eastAsia="仿宋_GB2312"/>
        </w:rPr>
      </w:pPr>
      <w:bookmarkStart w:id="72" w:name="_Toc517177977"/>
      <w:r>
        <w:rPr>
          <w:rFonts w:ascii="仿宋_GB2312" w:eastAsia="仿宋_GB2312" w:hint="eastAsia"/>
        </w:rPr>
        <w:t>（一）应用相关管理会计工具方法前后情况对比</w:t>
      </w:r>
      <w:bookmarkEnd w:id="72"/>
    </w:p>
    <w:p w:rsidR="002C02E6" w:rsidRDefault="00C917C2">
      <w:pPr>
        <w:pStyle w:val="4"/>
        <w:ind w:firstLine="482"/>
        <w:rPr>
          <w:rFonts w:ascii="仿宋_GB2312" w:eastAsia="仿宋_GB2312"/>
          <w:b/>
          <w:sz w:val="32"/>
          <w:szCs w:val="32"/>
        </w:rPr>
      </w:pPr>
      <w:r>
        <w:rPr>
          <w:rFonts w:ascii="宋体" w:hAnsi="宋体" w:cs="宋体" w:hint="eastAsia"/>
          <w:b/>
          <w:sz w:val="24"/>
        </w:rPr>
        <w:t xml:space="preserve"> </w:t>
      </w:r>
      <w:r>
        <w:rPr>
          <w:rFonts w:ascii="仿宋_GB2312" w:eastAsia="仿宋_GB2312" w:hint="eastAsia"/>
          <w:b/>
          <w:sz w:val="32"/>
          <w:szCs w:val="32"/>
        </w:rPr>
        <w:t xml:space="preserve">1.本项目在医院成本管理的创新 </w:t>
      </w:r>
      <w:bookmarkStart w:id="73" w:name="_Toc24589"/>
      <w:bookmarkStart w:id="74" w:name="_Toc510947577"/>
    </w:p>
    <w:p w:rsidR="002C02E6" w:rsidRDefault="00C917C2">
      <w:pPr>
        <w:spacing w:line="600" w:lineRule="exact"/>
        <w:ind w:firstLineChars="200" w:firstLine="640"/>
        <w:rPr>
          <w:rFonts w:ascii="仿宋_GB2312" w:eastAsia="仿宋_GB2312"/>
          <w:sz w:val="32"/>
          <w:szCs w:val="32"/>
        </w:rPr>
      </w:pPr>
      <w:r>
        <w:rPr>
          <w:rFonts w:ascii="仿宋_GB2312" w:eastAsia="仿宋_GB2312"/>
          <w:sz w:val="32"/>
          <w:szCs w:val="32"/>
        </w:rPr>
        <w:t>(</w:t>
      </w:r>
      <w:r>
        <w:rPr>
          <w:rFonts w:ascii="仿宋_GB2312" w:eastAsia="仿宋_GB2312" w:hint="eastAsia"/>
          <w:sz w:val="32"/>
          <w:szCs w:val="32"/>
        </w:rPr>
        <w:t>1</w:t>
      </w:r>
      <w:r>
        <w:rPr>
          <w:rFonts w:ascii="仿宋_GB2312" w:eastAsia="仿宋_GB2312"/>
          <w:sz w:val="32"/>
          <w:szCs w:val="32"/>
        </w:rPr>
        <w:t>)</w:t>
      </w:r>
      <w:bookmarkEnd w:id="73"/>
      <w:r>
        <w:rPr>
          <w:rFonts w:ascii="仿宋_GB2312" w:eastAsia="仿宋_GB2312" w:hint="eastAsia"/>
          <w:bCs/>
          <w:sz w:val="32"/>
          <w:szCs w:val="32"/>
        </w:rPr>
        <w:t>基于网络</w:t>
      </w:r>
      <w:proofErr w:type="gramStart"/>
      <w:r>
        <w:rPr>
          <w:rFonts w:ascii="仿宋_GB2312" w:eastAsia="仿宋_GB2312" w:hint="eastAsia"/>
          <w:bCs/>
          <w:sz w:val="32"/>
          <w:szCs w:val="32"/>
        </w:rPr>
        <w:t>实现业财</w:t>
      </w:r>
      <w:proofErr w:type="gramEnd"/>
      <w:r>
        <w:rPr>
          <w:rFonts w:ascii="仿宋_GB2312" w:eastAsia="仿宋_GB2312" w:hint="eastAsia"/>
          <w:bCs/>
          <w:sz w:val="32"/>
          <w:szCs w:val="32"/>
        </w:rPr>
        <w:t>深度融合</w:t>
      </w:r>
      <w:bookmarkEnd w:id="74"/>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本项目跟踪国家</w:t>
      </w:r>
      <w:proofErr w:type="gramStart"/>
      <w:r>
        <w:rPr>
          <w:rFonts w:ascii="仿宋_GB2312" w:eastAsia="仿宋_GB2312" w:hint="eastAsia"/>
          <w:sz w:val="32"/>
          <w:szCs w:val="32"/>
        </w:rPr>
        <w:t>医</w:t>
      </w:r>
      <w:proofErr w:type="gramEnd"/>
      <w:r>
        <w:rPr>
          <w:rFonts w:ascii="仿宋_GB2312" w:eastAsia="仿宋_GB2312" w:hint="eastAsia"/>
          <w:sz w:val="32"/>
          <w:szCs w:val="32"/>
        </w:rPr>
        <w:t>改进程，先后设计研发了科室成本核算、医疗服务项目成本核算和病种成本核算，针对科室多、管理复杂、项目多、工作量大的实际情况，创新工作模式，持续改进，实现了基于网络、动态互动、</w:t>
      </w:r>
      <w:proofErr w:type="gramStart"/>
      <w:r>
        <w:rPr>
          <w:rFonts w:ascii="仿宋_GB2312" w:eastAsia="仿宋_GB2312" w:hint="eastAsia"/>
          <w:sz w:val="32"/>
          <w:szCs w:val="32"/>
        </w:rPr>
        <w:t>业财深度</w:t>
      </w:r>
      <w:proofErr w:type="gramEnd"/>
      <w:r>
        <w:rPr>
          <w:rFonts w:ascii="仿宋_GB2312" w:eastAsia="仿宋_GB2312" w:hint="eastAsia"/>
          <w:sz w:val="32"/>
          <w:szCs w:val="32"/>
        </w:rPr>
        <w:t>融合的成本管理新模式，较好的完成了全面成本核算体系的构建，并在医院得到深度应用。</w:t>
      </w:r>
    </w:p>
    <w:p w:rsidR="002C02E6" w:rsidRDefault="00C917C2">
      <w:pPr>
        <w:spacing w:line="600" w:lineRule="exact"/>
        <w:ind w:firstLineChars="200" w:firstLine="640"/>
        <w:rPr>
          <w:rFonts w:ascii="仿宋_GB2312" w:eastAsia="仿宋_GB2312"/>
          <w:bCs/>
          <w:sz w:val="32"/>
          <w:szCs w:val="32"/>
        </w:rPr>
      </w:pPr>
      <w:bookmarkStart w:id="75" w:name="_Toc510947578"/>
      <w:r>
        <w:rPr>
          <w:rFonts w:ascii="仿宋_GB2312" w:eastAsia="仿宋_GB2312" w:hint="eastAsia"/>
          <w:bCs/>
          <w:sz w:val="32"/>
          <w:szCs w:val="32"/>
        </w:rPr>
        <w:t>(2</w:t>
      </w:r>
      <w:r>
        <w:rPr>
          <w:rFonts w:ascii="仿宋_GB2312" w:eastAsia="仿宋_GB2312"/>
          <w:bCs/>
          <w:sz w:val="32"/>
          <w:szCs w:val="32"/>
        </w:rPr>
        <w:t>)</w:t>
      </w:r>
      <w:r>
        <w:rPr>
          <w:rFonts w:ascii="仿宋_GB2312" w:eastAsia="仿宋_GB2312" w:hint="eastAsia"/>
          <w:bCs/>
          <w:sz w:val="32"/>
          <w:szCs w:val="32"/>
        </w:rPr>
        <w:t>本项目独创科室经济运行报告自动发布机制</w:t>
      </w:r>
      <w:bookmarkEnd w:id="75"/>
      <w:r>
        <w:rPr>
          <w:rFonts w:ascii="仿宋_GB2312" w:eastAsia="仿宋_GB2312" w:hint="eastAsia"/>
          <w:bCs/>
          <w:sz w:val="32"/>
          <w:szCs w:val="32"/>
        </w:rPr>
        <w:t xml:space="preserve">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经济运行报告采用“智能化”技术，每月由计算机自动完成300个临床科室的经济运行报告并发布到财务部网站，对科室经济运行包括收入、成本等指标进行图文并茂的详细的分析，供临床科室下载查看，指导管理，系国内首创。</w:t>
      </w:r>
    </w:p>
    <w:p w:rsidR="002C02E6" w:rsidRDefault="00C917C2">
      <w:pPr>
        <w:spacing w:line="600" w:lineRule="exact"/>
        <w:ind w:firstLineChars="200" w:firstLine="640"/>
        <w:rPr>
          <w:rFonts w:ascii="仿宋_GB2312" w:eastAsia="仿宋_GB2312"/>
          <w:bCs/>
          <w:sz w:val="32"/>
          <w:szCs w:val="32"/>
        </w:rPr>
      </w:pPr>
      <w:bookmarkStart w:id="76" w:name="_Toc510947579"/>
      <w:r>
        <w:rPr>
          <w:rFonts w:ascii="仿宋_GB2312" w:eastAsia="仿宋_GB2312" w:hint="eastAsia"/>
          <w:bCs/>
          <w:sz w:val="32"/>
          <w:szCs w:val="32"/>
        </w:rPr>
        <w:t>(3</w:t>
      </w:r>
      <w:r>
        <w:rPr>
          <w:rFonts w:ascii="仿宋_GB2312" w:eastAsia="仿宋_GB2312"/>
          <w:bCs/>
          <w:sz w:val="32"/>
          <w:szCs w:val="32"/>
        </w:rPr>
        <w:t>)</w:t>
      </w:r>
      <w:r>
        <w:rPr>
          <w:rFonts w:ascii="仿宋_GB2312" w:eastAsia="仿宋_GB2312" w:hint="eastAsia"/>
          <w:bCs/>
          <w:sz w:val="32"/>
          <w:szCs w:val="32"/>
        </w:rPr>
        <w:t>本项目独创项目成本核算全员参入双向互动模式</w:t>
      </w:r>
      <w:bookmarkEnd w:id="76"/>
      <w:r>
        <w:rPr>
          <w:rFonts w:ascii="仿宋_GB2312" w:eastAsia="仿宋_GB2312" w:hint="eastAsia"/>
          <w:bCs/>
          <w:sz w:val="32"/>
          <w:szCs w:val="32"/>
        </w:rPr>
        <w:t xml:space="preserve"> </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我们贯彻“算管结合、算为管用”的工作理念，确立了成本核算是为了改进工作、降低成本的基本目标，核算的目的是为了管理，必须及时的将各种信息提供给各临床科室，用于管理，但项目成本和病种成本核算又是一项非常困难、工作量大的工作，需要临床的密切配合。为了降低临床的工作强度，我们采用了网</w:t>
      </w:r>
      <w:r>
        <w:rPr>
          <w:rFonts w:ascii="仿宋_GB2312" w:eastAsia="仿宋_GB2312" w:hint="eastAsia"/>
          <w:sz w:val="32"/>
          <w:szCs w:val="32"/>
        </w:rPr>
        <w:lastRenderedPageBreak/>
        <w:t>站形式，简化了数据采集的难度，通过建立和临床科室的双向互动机制，及时的将核算的成本信息向临床科室反馈，初步实现了医院和科室</w:t>
      </w:r>
      <w:proofErr w:type="gramStart"/>
      <w:r>
        <w:rPr>
          <w:rFonts w:ascii="仿宋_GB2312" w:eastAsia="仿宋_GB2312" w:hint="eastAsia"/>
          <w:sz w:val="32"/>
          <w:szCs w:val="32"/>
        </w:rPr>
        <w:t>“</w:t>
      </w:r>
      <w:proofErr w:type="gramEnd"/>
      <w:r>
        <w:rPr>
          <w:rFonts w:ascii="仿宋_GB2312" w:eastAsia="仿宋_GB2312" w:hint="eastAsia"/>
          <w:sz w:val="32"/>
          <w:szCs w:val="32"/>
        </w:rPr>
        <w:t>靠数字说话、靠数字管理、靠数字决策、靠数字创新“管理新机制。</w:t>
      </w:r>
    </w:p>
    <w:p w:rsidR="002C02E6" w:rsidRDefault="00C917C2">
      <w:pPr>
        <w:pStyle w:val="4"/>
        <w:ind w:firstLine="602"/>
        <w:rPr>
          <w:rFonts w:ascii="宋体" w:hAnsi="宋体" w:cs="宋体"/>
          <w:b/>
          <w:sz w:val="30"/>
          <w:szCs w:val="30"/>
        </w:rPr>
      </w:pPr>
      <w:r>
        <w:rPr>
          <w:rFonts w:ascii="宋体" w:hAnsi="宋体" w:cs="宋体" w:hint="eastAsia"/>
          <w:b/>
          <w:sz w:val="30"/>
          <w:szCs w:val="30"/>
        </w:rPr>
        <w:t>2</w:t>
      </w:r>
      <w:r>
        <w:rPr>
          <w:rFonts w:ascii="宋体" w:hAnsi="宋体" w:cs="宋体"/>
          <w:b/>
          <w:sz w:val="30"/>
          <w:szCs w:val="30"/>
        </w:rPr>
        <w:t>.</w:t>
      </w:r>
      <w:r>
        <w:rPr>
          <w:rFonts w:ascii="宋体" w:hAnsi="宋体" w:cs="宋体" w:hint="eastAsia"/>
          <w:b/>
          <w:sz w:val="30"/>
          <w:szCs w:val="30"/>
        </w:rPr>
        <w:t>开展该项目取得的效果</w:t>
      </w:r>
      <w:bookmarkStart w:id="77" w:name="_Toc510947581"/>
    </w:p>
    <w:p w:rsidR="002C02E6" w:rsidRDefault="00C917C2">
      <w:pPr>
        <w:spacing w:line="600" w:lineRule="exact"/>
        <w:ind w:firstLineChars="200" w:firstLine="560"/>
        <w:rPr>
          <w:rFonts w:ascii="仿宋_GB2312" w:eastAsia="仿宋_GB2312"/>
          <w:sz w:val="32"/>
          <w:szCs w:val="32"/>
        </w:rPr>
      </w:pPr>
      <w:bookmarkStart w:id="78" w:name="_Toc517177978"/>
      <w:r>
        <w:rPr>
          <w:rStyle w:val="3Char"/>
          <w:rFonts w:ascii="宋体" w:eastAsia="等线 Light" w:hAnsi="宋体" w:cs="宋体"/>
          <w:sz w:val="28"/>
          <w:szCs w:val="28"/>
        </w:rPr>
        <w:t>(</w:t>
      </w:r>
      <w:bookmarkEnd w:id="78"/>
      <w:r>
        <w:rPr>
          <w:rFonts w:ascii="仿宋_GB2312" w:eastAsia="仿宋_GB2312"/>
          <w:bCs/>
          <w:sz w:val="32"/>
          <w:szCs w:val="32"/>
        </w:rPr>
        <w:t>1)</w:t>
      </w:r>
      <w:r>
        <w:rPr>
          <w:rFonts w:ascii="仿宋_GB2312" w:eastAsia="仿宋_GB2312" w:hint="eastAsia"/>
          <w:sz w:val="32"/>
          <w:szCs w:val="32"/>
        </w:rPr>
        <w:t>优化医院收入结构</w:t>
      </w:r>
      <w:bookmarkEnd w:id="7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本项目通过精细化成本核算提升了医院收益水平，医院由粗放式管理转变为更加关注内涵式增长，实现科学管理，一定程度上改变了过去重数量不重质量现象。</w:t>
      </w:r>
    </w:p>
    <w:p w:rsidR="002C02E6" w:rsidRDefault="00C917C2">
      <w:pPr>
        <w:spacing w:line="600" w:lineRule="exact"/>
        <w:ind w:firstLineChars="200" w:firstLine="640"/>
        <w:rPr>
          <w:rFonts w:ascii="仿宋_GB2312" w:eastAsia="仿宋_GB2312"/>
          <w:sz w:val="32"/>
          <w:szCs w:val="32"/>
        </w:rPr>
      </w:pPr>
      <w:bookmarkStart w:id="79" w:name="_Toc510947582"/>
      <w:r>
        <w:rPr>
          <w:rFonts w:ascii="仿宋_GB2312" w:eastAsia="仿宋_GB2312"/>
          <w:sz w:val="32"/>
          <w:szCs w:val="32"/>
        </w:rPr>
        <w:t>(2)</w:t>
      </w:r>
      <w:r>
        <w:rPr>
          <w:rFonts w:ascii="仿宋_GB2312" w:eastAsia="仿宋_GB2312" w:hint="eastAsia"/>
          <w:sz w:val="32"/>
          <w:szCs w:val="32"/>
        </w:rPr>
        <w:t>广泛应用于管理层决策</w:t>
      </w:r>
      <w:bookmarkEnd w:id="79"/>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本项目注重理论研究和实务研究的结合，通过信息化的手段，医院财务部门每月出具医院、科室成本数据报告，</w:t>
      </w:r>
      <w:proofErr w:type="gramStart"/>
      <w:r>
        <w:rPr>
          <w:rFonts w:ascii="仿宋_GB2312" w:eastAsia="仿宋_GB2312" w:hint="eastAsia"/>
          <w:sz w:val="32"/>
          <w:szCs w:val="32"/>
        </w:rPr>
        <w:t>供管理</w:t>
      </w:r>
      <w:proofErr w:type="gramEnd"/>
      <w:r>
        <w:rPr>
          <w:rFonts w:ascii="仿宋_GB2312" w:eastAsia="仿宋_GB2312" w:hint="eastAsia"/>
          <w:sz w:val="32"/>
          <w:szCs w:val="32"/>
        </w:rPr>
        <w:t>层决策，财务部门每月在</w:t>
      </w:r>
      <w:proofErr w:type="gramStart"/>
      <w:r>
        <w:rPr>
          <w:rFonts w:ascii="仿宋_GB2312" w:eastAsia="仿宋_GB2312" w:hint="eastAsia"/>
          <w:sz w:val="32"/>
          <w:szCs w:val="32"/>
        </w:rPr>
        <w:t>院各级</w:t>
      </w:r>
      <w:proofErr w:type="gramEnd"/>
      <w:r>
        <w:rPr>
          <w:rFonts w:ascii="仿宋_GB2312" w:eastAsia="仿宋_GB2312" w:hint="eastAsia"/>
          <w:sz w:val="32"/>
          <w:szCs w:val="32"/>
        </w:rPr>
        <w:t>会议上对医院经济运营数据进行点评，指导医院、科室决策，努力降低运营成本，提升收益水平。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 </w:t>
      </w:r>
      <w:bookmarkStart w:id="80" w:name="_Toc510947583"/>
      <w:r>
        <w:rPr>
          <w:rFonts w:ascii="仿宋_GB2312" w:eastAsia="仿宋_GB2312"/>
          <w:sz w:val="32"/>
          <w:szCs w:val="32"/>
        </w:rPr>
        <w:t>(3)</w:t>
      </w:r>
      <w:r>
        <w:rPr>
          <w:rFonts w:ascii="仿宋_GB2312" w:eastAsia="仿宋_GB2312" w:hint="eastAsia"/>
          <w:sz w:val="32"/>
          <w:szCs w:val="32"/>
        </w:rPr>
        <w:t>广泛应用于临床科室改进管理</w:t>
      </w:r>
      <w:bookmarkEnd w:id="8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科室经济运行报告调动了各临床科室管理积极性，各科室养成了定期查看下载科室经济运行报告的习惯，一定程度上有针对性的改进了科室管理，提升科室收益水平。</w:t>
      </w:r>
    </w:p>
    <w:p w:rsidR="002C02E6" w:rsidRDefault="00C917C2">
      <w:pPr>
        <w:pStyle w:val="3"/>
        <w:ind w:firstLine="643"/>
        <w:rPr>
          <w:rFonts w:ascii="仿宋_GB2312" w:eastAsia="仿宋_GB2312"/>
        </w:rPr>
      </w:pPr>
      <w:bookmarkStart w:id="81" w:name="_Toc517177979"/>
      <w:r>
        <w:rPr>
          <w:rFonts w:ascii="仿宋_GB2312" w:eastAsia="仿宋_GB2312" w:hint="eastAsia"/>
        </w:rPr>
        <w:t>（二）对解决单位管理问题情况的评价</w:t>
      </w:r>
      <w:bookmarkEnd w:id="8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随着</w:t>
      </w:r>
      <w:proofErr w:type="gramStart"/>
      <w:r>
        <w:rPr>
          <w:rFonts w:ascii="仿宋_GB2312" w:eastAsia="仿宋_GB2312" w:hint="eastAsia"/>
          <w:sz w:val="32"/>
          <w:szCs w:val="32"/>
        </w:rPr>
        <w:t>医</w:t>
      </w:r>
      <w:proofErr w:type="gramEnd"/>
      <w:r>
        <w:rPr>
          <w:rFonts w:ascii="仿宋_GB2312" w:eastAsia="仿宋_GB2312" w:hint="eastAsia"/>
          <w:sz w:val="32"/>
          <w:szCs w:val="32"/>
        </w:rPr>
        <w:t>改的逐步深入，从医院外部看，价格改革与分级诊疗共同影响医院收入增长，从内部看，影响医院经营成果的主要因素是成本，建立以收入和成本为基础的医疗服务项目动态调整机</w:t>
      </w:r>
      <w:r>
        <w:rPr>
          <w:rFonts w:ascii="仿宋_GB2312" w:eastAsia="仿宋_GB2312" w:hint="eastAsia"/>
          <w:sz w:val="32"/>
          <w:szCs w:val="32"/>
        </w:rPr>
        <w:lastRenderedPageBreak/>
        <w:t>制、</w:t>
      </w:r>
      <w:proofErr w:type="gramStart"/>
      <w:r>
        <w:rPr>
          <w:rFonts w:ascii="仿宋_GB2312" w:eastAsia="仿宋_GB2312" w:hint="eastAsia"/>
          <w:sz w:val="32"/>
          <w:szCs w:val="32"/>
        </w:rPr>
        <w:t>医</w:t>
      </w:r>
      <w:proofErr w:type="gramEnd"/>
      <w:r>
        <w:rPr>
          <w:rFonts w:ascii="仿宋_GB2312" w:eastAsia="仿宋_GB2312" w:hint="eastAsia"/>
          <w:sz w:val="32"/>
          <w:szCs w:val="32"/>
        </w:rPr>
        <w:t>保的按病种支付，都使医院发展逐渐由从收入管理时代进入成本管理时代。</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构建的基于管理会计工具方法的医院精细化成本核算，涵盖了医院层面成本核算、科室成本核算，进一步细化到医疗服务项目成本核算和病种成本核算，建立了一套完善的体系，并通过信息化的手段，通过建立内部Intranet，实现了项目执行的可行性、可靠性，比较完美的解决了医院的成本核算问题。初步实现了本项目开展要实现的三个目标：</w:t>
      </w:r>
    </w:p>
    <w:p w:rsidR="002C02E6" w:rsidRDefault="00C917C2">
      <w:pPr>
        <w:pStyle w:val="a9"/>
        <w:spacing w:before="0" w:beforeAutospacing="0" w:after="0" w:afterAutospacing="0" w:line="360" w:lineRule="auto"/>
        <w:ind w:firstLineChars="175" w:firstLine="560"/>
        <w:rPr>
          <w:rFonts w:ascii="仿宋_GB2312" w:eastAsia="仿宋_GB2312" w:hAnsi="Calibri" w:cs="Times New Roman"/>
          <w:kern w:val="2"/>
          <w:sz w:val="32"/>
          <w:szCs w:val="32"/>
        </w:rPr>
      </w:pPr>
      <w:r>
        <w:rPr>
          <w:rFonts w:ascii="仿宋_GB2312" w:eastAsia="仿宋_GB2312" w:hAnsi="Calibri" w:cs="Times New Roman" w:hint="eastAsia"/>
          <w:kern w:val="2"/>
          <w:sz w:val="32"/>
          <w:szCs w:val="32"/>
        </w:rPr>
        <w:t>1</w:t>
      </w:r>
      <w:r>
        <w:rPr>
          <w:rFonts w:ascii="仿宋_GB2312" w:eastAsia="仿宋_GB2312" w:hAnsi="Calibri" w:cs="Times New Roman"/>
          <w:kern w:val="2"/>
          <w:sz w:val="32"/>
          <w:szCs w:val="32"/>
        </w:rPr>
        <w:t>.</w:t>
      </w:r>
      <w:r>
        <w:rPr>
          <w:rFonts w:ascii="仿宋_GB2312" w:eastAsia="仿宋_GB2312" w:hAnsi="Calibri" w:cs="Times New Roman" w:hint="eastAsia"/>
          <w:kern w:val="2"/>
          <w:sz w:val="32"/>
          <w:szCs w:val="32"/>
        </w:rPr>
        <w:t>科室成本核算。实现了精细</w:t>
      </w:r>
      <w:proofErr w:type="gramStart"/>
      <w:r>
        <w:rPr>
          <w:rFonts w:ascii="仿宋_GB2312" w:eastAsia="仿宋_GB2312" w:hAnsi="Calibri" w:cs="Times New Roman" w:hint="eastAsia"/>
          <w:kern w:val="2"/>
          <w:sz w:val="32"/>
          <w:szCs w:val="32"/>
        </w:rPr>
        <w:t>化了解</w:t>
      </w:r>
      <w:proofErr w:type="gramEnd"/>
      <w:r>
        <w:rPr>
          <w:rFonts w:ascii="仿宋_GB2312" w:eastAsia="仿宋_GB2312" w:hAnsi="Calibri" w:cs="Times New Roman" w:hint="eastAsia"/>
          <w:kern w:val="2"/>
          <w:sz w:val="32"/>
          <w:szCs w:val="32"/>
        </w:rPr>
        <w:t>科室运营成本，通过每月发布科室经济运行报告，建立了科学的科室运营评价体系，有利于进一步查找科室成本管理漏洞，改进管理，提高收益水平，增强科室发展活力。</w:t>
      </w:r>
    </w:p>
    <w:p w:rsidR="002C02E6" w:rsidRDefault="00C917C2">
      <w:pPr>
        <w:pStyle w:val="a9"/>
        <w:spacing w:before="0" w:beforeAutospacing="0" w:after="0" w:afterAutospacing="0" w:line="360" w:lineRule="auto"/>
        <w:ind w:firstLineChars="175" w:firstLine="560"/>
        <w:rPr>
          <w:rFonts w:ascii="仿宋_GB2312" w:eastAsia="仿宋_GB2312" w:hAnsi="Calibri" w:cs="Times New Roman"/>
          <w:kern w:val="2"/>
          <w:sz w:val="32"/>
          <w:szCs w:val="32"/>
        </w:rPr>
      </w:pPr>
      <w:r>
        <w:rPr>
          <w:rFonts w:ascii="仿宋_GB2312" w:eastAsia="仿宋_GB2312" w:hAnsi="Calibri" w:cs="Times New Roman" w:hint="eastAsia"/>
          <w:kern w:val="2"/>
          <w:sz w:val="32"/>
          <w:szCs w:val="32"/>
        </w:rPr>
        <w:t>2</w:t>
      </w:r>
      <w:r>
        <w:rPr>
          <w:rFonts w:ascii="仿宋_GB2312" w:eastAsia="仿宋_GB2312" w:hAnsi="Calibri" w:cs="Times New Roman"/>
          <w:kern w:val="2"/>
          <w:sz w:val="32"/>
          <w:szCs w:val="32"/>
        </w:rPr>
        <w:t>.</w:t>
      </w:r>
      <w:r>
        <w:rPr>
          <w:rFonts w:ascii="仿宋_GB2312" w:eastAsia="仿宋_GB2312" w:hAnsi="Calibri" w:cs="Times New Roman" w:hint="eastAsia"/>
          <w:kern w:val="2"/>
          <w:sz w:val="32"/>
          <w:szCs w:val="32"/>
        </w:rPr>
        <w:t>项目成本核算。实现了精细化核算科室中每一个医疗服务项目的成本构成及其收益水平，为按</w:t>
      </w:r>
      <w:proofErr w:type="gramStart"/>
      <w:r>
        <w:rPr>
          <w:rFonts w:ascii="仿宋_GB2312" w:eastAsia="仿宋_GB2312" w:hAnsi="Calibri" w:cs="Times New Roman" w:hint="eastAsia"/>
          <w:kern w:val="2"/>
          <w:sz w:val="32"/>
          <w:szCs w:val="32"/>
        </w:rPr>
        <w:t>医改要求</w:t>
      </w:r>
      <w:proofErr w:type="gramEnd"/>
      <w:r>
        <w:rPr>
          <w:rFonts w:ascii="仿宋_GB2312" w:eastAsia="仿宋_GB2312" w:hAnsi="Calibri" w:cs="Times New Roman" w:hint="eastAsia"/>
          <w:kern w:val="2"/>
          <w:sz w:val="32"/>
          <w:szCs w:val="32"/>
        </w:rPr>
        <w:t>建立以收入和成本结构为基础的动态价格调整机制创造了条件，也为和价格管理部门谈判确立医疗服务价格提供了依据。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病种成本核算。实现了精细化核算病种成本构成及病种收益能力，为应对</w:t>
      </w:r>
      <w:proofErr w:type="gramStart"/>
      <w:r>
        <w:rPr>
          <w:rFonts w:ascii="仿宋_GB2312" w:eastAsia="仿宋_GB2312" w:hint="eastAsia"/>
          <w:sz w:val="32"/>
          <w:szCs w:val="32"/>
        </w:rPr>
        <w:t>医</w:t>
      </w:r>
      <w:proofErr w:type="gramEnd"/>
      <w:r>
        <w:rPr>
          <w:rFonts w:ascii="仿宋_GB2312" w:eastAsia="仿宋_GB2312" w:hint="eastAsia"/>
          <w:sz w:val="32"/>
          <w:szCs w:val="32"/>
        </w:rPr>
        <w:t>保支付制度改革，为按病种付费提供了依据。也为绩效考核提供了依据，为物价、财政部门出台政策提供了依据。</w:t>
      </w:r>
    </w:p>
    <w:p w:rsidR="002C02E6" w:rsidRDefault="00C917C2">
      <w:pPr>
        <w:pStyle w:val="3"/>
        <w:ind w:firstLine="643"/>
        <w:rPr>
          <w:rFonts w:ascii="仿宋_GB2312" w:eastAsia="仿宋_GB2312"/>
        </w:rPr>
      </w:pPr>
      <w:bookmarkStart w:id="82" w:name="_Toc517177980"/>
      <w:r>
        <w:rPr>
          <w:rFonts w:ascii="仿宋_GB2312" w:eastAsia="仿宋_GB2312" w:hint="eastAsia"/>
        </w:rPr>
        <w:t>（三）对支持单位制定和落实战略的评价</w:t>
      </w:r>
      <w:bookmarkEnd w:id="8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大多数医院战略执行并不理想，《哈弗商业评论》的一项研</w:t>
      </w:r>
      <w:r>
        <w:rPr>
          <w:rFonts w:ascii="仿宋_GB2312" w:eastAsia="仿宋_GB2312" w:hint="eastAsia"/>
          <w:sz w:val="32"/>
          <w:szCs w:val="32"/>
        </w:rPr>
        <w:lastRenderedPageBreak/>
        <w:t>究报告提到“平均而言，公司只能实现其战略规划中所设定财务业绩目标的60%.</w:t>
      </w:r>
      <w:r>
        <w:rPr>
          <w:rFonts w:ascii="仿宋_GB2312" w:eastAsia="仿宋_GB2312"/>
          <w:sz w:val="32"/>
          <w:szCs w:val="32"/>
        </w:rPr>
        <w:t>.....</w:t>
      </w:r>
      <w:r>
        <w:rPr>
          <w:rFonts w:ascii="仿宋_GB2312" w:eastAsia="仿宋_GB2312" w:hint="eastAsia"/>
          <w:sz w:val="32"/>
          <w:szCs w:val="32"/>
        </w:rPr>
        <w:t>”，对于战略的难以落地，普遍认为不是糟糕的策略，而是糟糕的执行，要提高执行力，一种可行的方法</w:t>
      </w:r>
      <w:proofErr w:type="gramStart"/>
      <w:r>
        <w:rPr>
          <w:rFonts w:ascii="仿宋_GB2312" w:eastAsia="仿宋_GB2312" w:hint="eastAsia"/>
          <w:sz w:val="32"/>
          <w:szCs w:val="32"/>
        </w:rPr>
        <w:t>是业财融合</w:t>
      </w:r>
      <w:proofErr w:type="gramEnd"/>
      <w:r>
        <w:rPr>
          <w:rFonts w:ascii="仿宋_GB2312" w:eastAsia="仿宋_GB2312" w:hint="eastAsia"/>
          <w:sz w:val="32"/>
          <w:szCs w:val="32"/>
        </w:rPr>
        <w:t>。</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医院管理层认识到战略的落地是财务团队</w:t>
      </w:r>
      <w:proofErr w:type="gramStart"/>
      <w:r>
        <w:rPr>
          <w:rFonts w:ascii="仿宋_GB2312" w:eastAsia="仿宋_GB2312" w:hint="eastAsia"/>
          <w:sz w:val="32"/>
          <w:szCs w:val="32"/>
        </w:rPr>
        <w:t>通过业财</w:t>
      </w:r>
      <w:proofErr w:type="gramEnd"/>
      <w:r>
        <w:rPr>
          <w:rFonts w:ascii="仿宋_GB2312" w:eastAsia="仿宋_GB2312" w:hint="eastAsia"/>
          <w:sz w:val="32"/>
          <w:szCs w:val="32"/>
        </w:rPr>
        <w:t>融合实现价值财务的重要内容，我院精细化成本核算通过互联网建立了财务部门和业务部门（临床科室）的深度融合，使财务人员伸展到业务的前端，财务部门向业务部</w:t>
      </w:r>
      <w:proofErr w:type="gramStart"/>
      <w:r>
        <w:rPr>
          <w:rFonts w:ascii="仿宋_GB2312" w:eastAsia="仿宋_GB2312" w:hint="eastAsia"/>
          <w:sz w:val="32"/>
          <w:szCs w:val="32"/>
        </w:rPr>
        <w:t>门持续</w:t>
      </w:r>
      <w:proofErr w:type="gramEnd"/>
      <w:r>
        <w:rPr>
          <w:rFonts w:ascii="仿宋_GB2312" w:eastAsia="仿宋_GB2312" w:hint="eastAsia"/>
          <w:sz w:val="32"/>
          <w:szCs w:val="32"/>
        </w:rPr>
        <w:t>推送成本及经营大数据，建立了和临床部门的高效互动，有效的互动过程和绩效评价可以减少临床部门管理盲点，有利于医院战略的落地，推动业绩的提升。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另外，精细化的成本核算通过层层目标分解与反馈，可以发现医院经济管理的漏洞，加强内部学习与成长，持续改进业务流程，为病人提供无障碍就医，不断提升客户满意度和忠诚度，又进一步改善财务指标。这种P</w:t>
      </w:r>
      <w:r>
        <w:rPr>
          <w:rFonts w:ascii="仿宋_GB2312" w:eastAsia="仿宋_GB2312"/>
          <w:sz w:val="32"/>
          <w:szCs w:val="32"/>
        </w:rPr>
        <w:t>DCA</w:t>
      </w:r>
      <w:r>
        <w:rPr>
          <w:rFonts w:ascii="仿宋_GB2312" w:eastAsia="仿宋_GB2312" w:hint="eastAsia"/>
          <w:sz w:val="32"/>
          <w:szCs w:val="32"/>
        </w:rPr>
        <w:t>式的持续循环过程，形成了财务团队、业务和战略的一致性，推动了医院战略的实现。</w:t>
      </w:r>
    </w:p>
    <w:p w:rsidR="002C02E6" w:rsidRDefault="00C917C2">
      <w:pPr>
        <w:pStyle w:val="3"/>
        <w:ind w:firstLine="643"/>
        <w:rPr>
          <w:rFonts w:ascii="仿宋_GB2312" w:eastAsia="仿宋_GB2312"/>
        </w:rPr>
      </w:pPr>
      <w:bookmarkStart w:id="83" w:name="_Toc517177981"/>
      <w:r>
        <w:rPr>
          <w:rFonts w:ascii="仿宋_GB2312" w:eastAsia="仿宋_GB2312" w:hint="eastAsia"/>
        </w:rPr>
        <w:t>（四）对提升单位管理决策有用性的评价</w:t>
      </w:r>
      <w:bookmarkEnd w:id="83"/>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本项目在推动医院发展，规划、控制、决策、评价等方面，起到了重要作用。基于作业成本法、</w:t>
      </w:r>
      <w:proofErr w:type="gramStart"/>
      <w:r>
        <w:rPr>
          <w:rFonts w:ascii="仿宋_GB2312" w:eastAsia="仿宋_GB2312" w:hint="eastAsia"/>
          <w:sz w:val="32"/>
          <w:szCs w:val="32"/>
        </w:rPr>
        <w:t>本量利</w:t>
      </w:r>
      <w:proofErr w:type="gramEnd"/>
      <w:r>
        <w:rPr>
          <w:rFonts w:ascii="仿宋_GB2312" w:eastAsia="仿宋_GB2312" w:hint="eastAsia"/>
          <w:sz w:val="32"/>
          <w:szCs w:val="32"/>
        </w:rPr>
        <w:t>法、标准成本法等管理会计工具方法构建的成本核算体系实现了精细化管理，无论是成本核算体系的科学性还是成本核算数据的准确性，都提升到了一个新的高度。</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从管理层决策看，准确的数据是有效管理的基础，成本核算数据会转化成信息，信息转化成智慧，智慧实现高质量决策。本项目的构建与有效实施，推动了医院成本大数据管理，有利于医院管理理念和治理模式的进步，初步构建了“靠数字说话、靠数字管理、靠数字决策、靠数字创新”的新型决策模式，对于推动医院内涵式发展，增强医院竞争能力，持续推动医院发展，发挥了重要作用。</w:t>
      </w:r>
    </w:p>
    <w:p w:rsidR="002C02E6" w:rsidRDefault="00C917C2">
      <w:pPr>
        <w:pStyle w:val="3"/>
        <w:ind w:firstLine="643"/>
        <w:rPr>
          <w:rFonts w:ascii="仿宋_GB2312" w:eastAsia="仿宋_GB2312"/>
        </w:rPr>
      </w:pPr>
      <w:bookmarkStart w:id="84" w:name="_Toc517177982"/>
      <w:r>
        <w:rPr>
          <w:rFonts w:ascii="仿宋_GB2312" w:eastAsia="仿宋_GB2312" w:hint="eastAsia"/>
        </w:rPr>
        <w:t>（五）对提高单位绩效管理水平的评价</w:t>
      </w:r>
      <w:bookmarkEnd w:id="84"/>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成本核算数据也广泛应用于医院绩效管理，通过</w:t>
      </w:r>
      <w:proofErr w:type="gramStart"/>
      <w:r>
        <w:rPr>
          <w:rFonts w:ascii="仿宋_GB2312" w:eastAsia="仿宋_GB2312" w:hint="eastAsia"/>
          <w:sz w:val="32"/>
          <w:szCs w:val="32"/>
        </w:rPr>
        <w:t>本量利</w:t>
      </w:r>
      <w:proofErr w:type="gramEnd"/>
      <w:r>
        <w:rPr>
          <w:rFonts w:ascii="仿宋_GB2312" w:eastAsia="仿宋_GB2312" w:hint="eastAsia"/>
          <w:sz w:val="32"/>
          <w:szCs w:val="32"/>
        </w:rPr>
        <w:t>等方法实现了科室成本核算，获得了科室经营盈亏信息，有利于科室对症下药，改进管理，实现科室科学发展；通过作业成本等方法实现了项目成本和病种成本核算，明确了项目和病种的收益水平，也有利于科室有的放矢降低成本，有针对性的改进工作。</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在此基础上，可以构建有医院特点的、体现公益性的基于平衡计分卡、KPI等的医院绩效考核管理模式，通过提高内部职工学习与成长，改进医院内部流程，实现病人无障碍就医，进一步满足病人需求，医院和科室业绩也就得到了提升;</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从医院学科发展看，也可以基于成本信息构建基于R</w:t>
      </w:r>
      <w:r>
        <w:rPr>
          <w:rFonts w:ascii="仿宋_GB2312" w:eastAsia="仿宋_GB2312"/>
          <w:sz w:val="32"/>
          <w:szCs w:val="32"/>
        </w:rPr>
        <w:t>BRVS</w:t>
      </w:r>
      <w:r>
        <w:rPr>
          <w:rFonts w:ascii="仿宋_GB2312" w:eastAsia="仿宋_GB2312" w:hint="eastAsia"/>
          <w:sz w:val="32"/>
          <w:szCs w:val="32"/>
        </w:rPr>
        <w:t>和D</w:t>
      </w:r>
      <w:r>
        <w:rPr>
          <w:rFonts w:ascii="仿宋_GB2312" w:eastAsia="仿宋_GB2312"/>
          <w:sz w:val="32"/>
          <w:szCs w:val="32"/>
        </w:rPr>
        <w:t>RGS</w:t>
      </w:r>
      <w:r>
        <w:rPr>
          <w:rFonts w:ascii="仿宋_GB2312" w:eastAsia="仿宋_GB2312" w:hint="eastAsia"/>
          <w:sz w:val="32"/>
          <w:szCs w:val="32"/>
        </w:rPr>
        <w:t>的绩效管理，从上文介绍可以看出，《2012版医疗服务项目规范》包含了项目的技术难度和风险程度，项目成本核算结果有利于构建基于数量的绩效考核模式，可以按照</w:t>
      </w:r>
      <w:proofErr w:type="gramStart"/>
      <w:r>
        <w:rPr>
          <w:rFonts w:ascii="仿宋_GB2312" w:eastAsia="仿宋_GB2312" w:hint="eastAsia"/>
          <w:sz w:val="32"/>
          <w:szCs w:val="32"/>
        </w:rPr>
        <w:t>医</w:t>
      </w:r>
      <w:proofErr w:type="gramEnd"/>
      <w:r>
        <w:rPr>
          <w:rFonts w:ascii="仿宋_GB2312" w:eastAsia="仿宋_GB2312" w:hint="eastAsia"/>
          <w:sz w:val="32"/>
          <w:szCs w:val="32"/>
        </w:rPr>
        <w:t>改要求，把手术、病种和项目的难易程度结合岗位工作量、服务质量、技术能力、</w:t>
      </w:r>
      <w:r>
        <w:rPr>
          <w:rFonts w:ascii="仿宋_GB2312" w:eastAsia="仿宋_GB2312" w:hint="eastAsia"/>
          <w:sz w:val="32"/>
          <w:szCs w:val="32"/>
        </w:rPr>
        <w:lastRenderedPageBreak/>
        <w:t>医德医风和患者满意度等指标构建绩效管理，对于促进医院学科发展，提高医生诊疗水平起到很大的作用。</w:t>
      </w:r>
      <w:r>
        <w:rPr>
          <w:rFonts w:ascii="仿宋_GB2312" w:eastAsia="仿宋_GB2312"/>
          <w:sz w:val="32"/>
          <w:szCs w:val="32"/>
        </w:rPr>
        <w:t xml:space="preserve"> </w:t>
      </w:r>
    </w:p>
    <w:p w:rsidR="002C02E6" w:rsidRDefault="00C917C2">
      <w:pPr>
        <w:pStyle w:val="2"/>
        <w:ind w:firstLine="643"/>
        <w:rPr>
          <w:rFonts w:ascii="黑体" w:eastAsia="黑体"/>
        </w:rPr>
      </w:pPr>
      <w:bookmarkStart w:id="85" w:name="_Toc517177983"/>
      <w:r>
        <w:rPr>
          <w:rFonts w:ascii="黑体" w:eastAsia="黑体" w:hint="eastAsia"/>
        </w:rPr>
        <w:t>五、经验总结</w:t>
      </w:r>
      <w:bookmarkEnd w:id="85"/>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总结相关管理会计工具方法应用的经验和体会，提出进一步改进和发展的建议。此部分内容包括：</w:t>
      </w:r>
    </w:p>
    <w:p w:rsidR="002C02E6" w:rsidRDefault="00C917C2">
      <w:pPr>
        <w:pStyle w:val="3"/>
        <w:ind w:firstLine="643"/>
        <w:rPr>
          <w:rFonts w:ascii="仿宋_GB2312" w:eastAsia="仿宋_GB2312"/>
        </w:rPr>
      </w:pPr>
      <w:bookmarkStart w:id="86" w:name="_Toc517177984"/>
      <w:r>
        <w:rPr>
          <w:rFonts w:ascii="仿宋_GB2312" w:eastAsia="仿宋_GB2312" w:hint="eastAsia"/>
        </w:rPr>
        <w:t>（一）相关管理会计工具方法的基本应用条件</w:t>
      </w:r>
      <w:bookmarkEnd w:id="86"/>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从我院运用管理会计工具方法推进成本管理来看，管理会计工具方法基本应用条件有：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第一，理论要和实践结合，要根据《管理会计基本准则》、《管理会计应用指引》的相关要求，考虑各个行业、各个单位的具体特点，有针对性地开展。</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第二，要通过信息化来展开，没有信息化的进步，再好的管理会计工具都是空中楼阁，可望而不可及。</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第三，要</w:t>
      </w:r>
      <w:proofErr w:type="gramStart"/>
      <w:r>
        <w:rPr>
          <w:rFonts w:ascii="仿宋_GB2312" w:eastAsia="仿宋_GB2312" w:hint="eastAsia"/>
          <w:sz w:val="32"/>
          <w:szCs w:val="32"/>
        </w:rPr>
        <w:t>实现业财</w:t>
      </w:r>
      <w:proofErr w:type="gramEnd"/>
      <w:r>
        <w:rPr>
          <w:rFonts w:ascii="仿宋_GB2312" w:eastAsia="仿宋_GB2312" w:hint="eastAsia"/>
          <w:sz w:val="32"/>
          <w:szCs w:val="32"/>
        </w:rPr>
        <w:t>融合。会计发展的趋势是由财务会计向管理会计转移，由会计核算向过程管理转移，会计的职能更多的是实现规划、控制、评价和决策，因此，财务人员需要把管理的前端伸展到业务环节，和业务人员（临床）组建合作伙伴，才能真正应用好管理会计工具，实现医院发展战略。</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四，要加强复合型人才的培养。管理会计的应用是人与技术的结合，实施者应该具有较好的互联网、区块链、云计算、人工智能等方面的技术积累，这样突破管理瓶颈，更好的理解业务逻辑和计算机技术两者融合，取得比较好的效果，建议国家、省</w:t>
      </w:r>
      <w:r>
        <w:rPr>
          <w:rFonts w:ascii="仿宋_GB2312" w:eastAsia="仿宋_GB2312" w:hint="eastAsia"/>
          <w:sz w:val="32"/>
          <w:szCs w:val="32"/>
        </w:rPr>
        <w:lastRenderedPageBreak/>
        <w:t>财政厅等部门加强这方面人才的培养。</w:t>
      </w:r>
    </w:p>
    <w:p w:rsidR="002C02E6" w:rsidRDefault="00C917C2">
      <w:pPr>
        <w:pStyle w:val="3"/>
        <w:ind w:firstLine="643"/>
        <w:rPr>
          <w:rFonts w:ascii="仿宋_GB2312" w:eastAsia="仿宋_GB2312"/>
        </w:rPr>
      </w:pPr>
      <w:bookmarkStart w:id="87" w:name="_Toc517177985"/>
      <w:r>
        <w:rPr>
          <w:rFonts w:ascii="仿宋_GB2312" w:eastAsia="仿宋_GB2312" w:hint="eastAsia"/>
        </w:rPr>
        <w:t>（二）相关管理会计工具方法成功应用的关键因素</w:t>
      </w:r>
      <w:bookmarkEnd w:id="87"/>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我院开展的项目取得了良好的效果，</w:t>
      </w:r>
      <w:proofErr w:type="gramStart"/>
      <w:r>
        <w:rPr>
          <w:rFonts w:ascii="仿宋_GB2312" w:eastAsia="仿宋_GB2312" w:hint="eastAsia"/>
          <w:sz w:val="32"/>
          <w:szCs w:val="32"/>
        </w:rPr>
        <w:t>通过业财</w:t>
      </w:r>
      <w:proofErr w:type="gramEnd"/>
      <w:r>
        <w:rPr>
          <w:rFonts w:ascii="仿宋_GB2312" w:eastAsia="仿宋_GB2312" w:hint="eastAsia"/>
          <w:sz w:val="32"/>
          <w:szCs w:val="32"/>
        </w:rPr>
        <w:t>融合，采用作业成本法、</w:t>
      </w:r>
      <w:proofErr w:type="gramStart"/>
      <w:r>
        <w:rPr>
          <w:rFonts w:ascii="仿宋_GB2312" w:eastAsia="仿宋_GB2312" w:hint="eastAsia"/>
          <w:sz w:val="32"/>
          <w:szCs w:val="32"/>
        </w:rPr>
        <w:t>本量利</w:t>
      </w:r>
      <w:proofErr w:type="gramEnd"/>
      <w:r>
        <w:rPr>
          <w:rFonts w:ascii="仿宋_GB2312" w:eastAsia="仿宋_GB2312" w:hint="eastAsia"/>
          <w:sz w:val="32"/>
          <w:szCs w:val="32"/>
        </w:rPr>
        <w:t>法、标准成本法等管理会计工具构建了比较好的医院成本解决方案，在全国属于领先水平，项目成功的关键因素是：</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第一，成本核算体系要科学。要加强管理会计理论的学习，有比较深的关于</w:t>
      </w:r>
      <w:proofErr w:type="gramStart"/>
      <w:r>
        <w:rPr>
          <w:rFonts w:ascii="仿宋_GB2312" w:eastAsia="仿宋_GB2312" w:hint="eastAsia"/>
          <w:sz w:val="32"/>
          <w:szCs w:val="32"/>
        </w:rPr>
        <w:t>本量利</w:t>
      </w:r>
      <w:proofErr w:type="gramEnd"/>
      <w:r>
        <w:rPr>
          <w:rFonts w:ascii="仿宋_GB2312" w:eastAsia="仿宋_GB2312" w:hint="eastAsia"/>
          <w:sz w:val="32"/>
          <w:szCs w:val="32"/>
        </w:rPr>
        <w:t>分析、作业成本法的业务理解，才能够准确地和本行业、本单位工作特点相结合，构建科学的成本核算体系，因此，管理会计理论的学习与熟练应用是项目成功的关键。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第二，具有复合性的知识架构。要具有熟练应用计算机能力，我院财务人员精通计算机软件研发，是成本解决方案能够落地的关键。</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第三，领导的支持和全院临床科室的配合。成本核算体系庞大，除核算方案科学外，还要协调全院所有业务部门，作业成本法要采集大量的数据，没有医院领导的支持很难推进。有了科学的成本核算方案外，项目能否成功要靠执行力，除财务团队努力外，还需要业务端-临床科室的配合。本项目建立在信息网络基础上，通过信息化手段尽量减轻临床科室等业务端的工作量，例如作业成本法的应用，方案科学，配合简单，减轻了临床人员工作量，是项目顺利推进的重要原因。 </w:t>
      </w:r>
    </w:p>
    <w:p w:rsidR="002C02E6" w:rsidRDefault="00C917C2">
      <w:pPr>
        <w:pStyle w:val="3"/>
        <w:ind w:firstLine="643"/>
        <w:rPr>
          <w:rFonts w:ascii="仿宋_GB2312" w:eastAsia="仿宋_GB2312"/>
        </w:rPr>
      </w:pPr>
      <w:bookmarkStart w:id="88" w:name="_Toc517177986"/>
      <w:r>
        <w:rPr>
          <w:rFonts w:ascii="仿宋_GB2312" w:eastAsia="仿宋_GB2312" w:hint="eastAsia"/>
        </w:rPr>
        <w:lastRenderedPageBreak/>
        <w:t>（三）对改进相关管理会计工具方法应用效果的思考</w:t>
      </w:r>
      <w:bookmarkEnd w:id="88"/>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管理会计工具方法在任何领域应用的方案设计必须科学，方向决定结果，正确的方案设计才能使管理会计工具方法发挥作用。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理论和实践的结合是成功的关键。理论层面的管理会计工具不经过实践的检验很难发挥作用，和实践结合，在实践中完善是管理会计工具方法取得良好效果的关键所在。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要通过信息化手段来实现。再好的管理会计工具，在任何领域的应用，靠手工模式是不可能达到效果的，必须和计算机技术结合在一起，才能达到管理的目的。</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要遵循管理会计应用的基本原则。管理会计工具方法应用要遵循战略导向原则、融合性原则、适应性原则和成本效益原则。例如本项目使用了作业成本法核算医疗服务项目成本，医疗服务项目数量多，对每一个项目都划分为多个作业步骤意义不大，就可以遵循“成本效益原则”灵活对待。</w:t>
      </w:r>
    </w:p>
    <w:p w:rsidR="002C02E6" w:rsidRDefault="00C917C2">
      <w:pPr>
        <w:pStyle w:val="3"/>
        <w:ind w:firstLine="643"/>
        <w:rPr>
          <w:rFonts w:ascii="仿宋_GB2312" w:eastAsia="仿宋_GB2312"/>
        </w:rPr>
      </w:pPr>
      <w:bookmarkStart w:id="89" w:name="_Toc517177987"/>
      <w:r>
        <w:rPr>
          <w:rFonts w:ascii="仿宋_GB2312" w:eastAsia="仿宋_GB2312" w:hint="eastAsia"/>
        </w:rPr>
        <w:t>（四）相关管理会计工具方法在应用中的优缺点</w:t>
      </w:r>
      <w:bookmarkEnd w:id="89"/>
    </w:p>
    <w:p w:rsidR="002C02E6" w:rsidRDefault="00C917C2">
      <w:pPr>
        <w:pStyle w:val="a4"/>
        <w:ind w:firstLine="640"/>
        <w:rPr>
          <w:rFonts w:ascii="仿宋_GB2312" w:eastAsia="仿宋_GB2312"/>
          <w:sz w:val="32"/>
          <w:szCs w:val="32"/>
        </w:rPr>
      </w:pPr>
      <w:r>
        <w:rPr>
          <w:rFonts w:ascii="仿宋_GB2312" w:eastAsia="仿宋_GB2312" w:hint="eastAsia"/>
          <w:sz w:val="32"/>
          <w:szCs w:val="32"/>
        </w:rPr>
        <w:t>本案例中应用了作业成本法、</w:t>
      </w:r>
      <w:proofErr w:type="gramStart"/>
      <w:r>
        <w:rPr>
          <w:rFonts w:ascii="仿宋_GB2312" w:eastAsia="仿宋_GB2312" w:hint="eastAsia"/>
          <w:sz w:val="32"/>
          <w:szCs w:val="32"/>
        </w:rPr>
        <w:t>本量利</w:t>
      </w:r>
      <w:proofErr w:type="gramEnd"/>
      <w:r>
        <w:rPr>
          <w:rFonts w:ascii="仿宋_GB2312" w:eastAsia="仿宋_GB2312" w:hint="eastAsia"/>
          <w:sz w:val="32"/>
          <w:szCs w:val="32"/>
        </w:rPr>
        <w:t>法和标准成本法，优缺点为：</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1.作业成本法：优点是体系设计科学，较其他方法计算的成本结果更准确，更有说服力，提供了更精确的成本信息，有利于决策，本项目组认为，作业成本法是医院项目成本核算的首要选择，其缺点因为比较复杂，核算过程相对繁琐，数据采集过程难度较大，需要采用强大的信息系统才能完成。</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2.</w:t>
      </w:r>
      <w:proofErr w:type="gramStart"/>
      <w:r>
        <w:rPr>
          <w:rFonts w:ascii="仿宋_GB2312" w:eastAsia="仿宋_GB2312" w:hint="eastAsia"/>
          <w:sz w:val="32"/>
          <w:szCs w:val="32"/>
        </w:rPr>
        <w:t>本量利</w:t>
      </w:r>
      <w:proofErr w:type="gramEnd"/>
      <w:r>
        <w:rPr>
          <w:rFonts w:ascii="仿宋_GB2312" w:eastAsia="仿宋_GB2312" w:hint="eastAsia"/>
          <w:sz w:val="32"/>
          <w:szCs w:val="32"/>
        </w:rPr>
        <w:t>法：是一种比较成熟的方法，广泛应用于管理会计，优点是简单易用，缺点是变动成本的确认很重要，因为关注短期目标，可能和战略脱节。</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3.标准成本法：只应用于成本控制环节，优点是简单易用，对医院不同部门相对公平，体现了机会的均等性；缺点是提供的是一种统一的标准，缺乏个性化，在控制总体成本降低的同时忽略了不同部门的业务特点。</w:t>
      </w:r>
    </w:p>
    <w:p w:rsidR="002C02E6" w:rsidRDefault="00C917C2">
      <w:pPr>
        <w:pStyle w:val="3"/>
        <w:ind w:firstLine="643"/>
        <w:rPr>
          <w:rFonts w:ascii="仿宋_GB2312" w:eastAsia="仿宋_GB2312"/>
        </w:rPr>
      </w:pPr>
      <w:bookmarkStart w:id="90" w:name="_Toc517177988"/>
      <w:r>
        <w:rPr>
          <w:rFonts w:ascii="仿宋_GB2312" w:eastAsia="仿宋_GB2312" w:hint="eastAsia"/>
        </w:rPr>
        <w:t>（五）对发展和完善相关管理会计工具方法的建议</w:t>
      </w:r>
      <w:bookmarkEnd w:id="90"/>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第一，加强培训，管理会计体现了规划、控制、决策、评价职能，是一种用于管理的会计，需要进一步加强对财务人员的培训，提升财务管理的层次和水平。</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第二，组织学术研讨会。高水平的管理会计学术研讨会有利于管理会计工具方法的学习、探讨与改进，从理论层面和实务层面发展和完善相关管理会计工具方法有重要意义。</w:t>
      </w:r>
    </w:p>
    <w:p w:rsidR="002C02E6" w:rsidRDefault="00C917C2">
      <w:pPr>
        <w:pStyle w:val="3"/>
        <w:ind w:firstLine="643"/>
        <w:rPr>
          <w:rFonts w:ascii="仿宋_GB2312" w:eastAsia="仿宋_GB2312"/>
        </w:rPr>
      </w:pPr>
      <w:bookmarkStart w:id="91" w:name="_Toc517177989"/>
      <w:r>
        <w:rPr>
          <w:rFonts w:ascii="仿宋_GB2312" w:eastAsia="仿宋_GB2312" w:hint="eastAsia"/>
        </w:rPr>
        <w:t>（六）对推广应用相关管理会计工具方法的建议</w:t>
      </w:r>
      <w:bookmarkEnd w:id="91"/>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第一，进一步加大管理会计案例的征集活动。</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第二，加大管理会计案例的推广应用。管理会计案例来源于工作，具有很强的指导实践意义。</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第三，加大督导，引领前进。由政府部门牵头，采用下发文件的方式，推动各个单位提高对管理会计工具方法的认识，由政府部门主导积极推进是管理会计普及的比较好的方式。</w:t>
      </w:r>
    </w:p>
    <w:p w:rsidR="002C02E6" w:rsidRDefault="00C917C2">
      <w:pPr>
        <w:pStyle w:val="1"/>
        <w:rPr>
          <w:rFonts w:ascii="黑体" w:eastAsia="黑体"/>
          <w:sz w:val="32"/>
          <w:szCs w:val="32"/>
        </w:rPr>
      </w:pPr>
      <w:r>
        <w:rPr>
          <w:rFonts w:ascii="黑体" w:eastAsia="黑体"/>
          <w:sz w:val="32"/>
          <w:szCs w:val="32"/>
        </w:rPr>
        <w:br w:type="page"/>
      </w:r>
      <w:bookmarkStart w:id="92" w:name="_Toc517177990"/>
      <w:r>
        <w:rPr>
          <w:rFonts w:ascii="黑体" w:eastAsia="黑体" w:hint="eastAsia"/>
          <w:sz w:val="32"/>
          <w:szCs w:val="32"/>
        </w:rPr>
        <w:lastRenderedPageBreak/>
        <w:t>第四部分  附录</w:t>
      </w:r>
      <w:bookmarkEnd w:id="92"/>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附录：本文档是由计算机自动完成的科室经济运行分析报告，内含了科室收入、成本等数据，以消化内科为例。</w:t>
      </w:r>
    </w:p>
    <w:p w:rsidR="002C02E6" w:rsidRDefault="00C917C2">
      <w:pPr>
        <w:spacing w:line="600" w:lineRule="exact"/>
        <w:ind w:firstLineChars="200" w:firstLine="640"/>
        <w:rPr>
          <w:rFonts w:ascii="仿宋_GB2312" w:eastAsia="仿宋_GB2312"/>
          <w:sz w:val="32"/>
          <w:szCs w:val="32"/>
        </w:rPr>
      </w:pPr>
      <w:r>
        <w:rPr>
          <w:rFonts w:ascii="仿宋_GB2312" w:eastAsia="仿宋_GB2312" w:hint="eastAsia"/>
          <w:sz w:val="32"/>
          <w:szCs w:val="32"/>
        </w:rPr>
        <w:t>本系统每月计算机自动完成医院三百个以上的科室报告，报告基于分析模板设置，分析模板根据规则自由编制，包括W</w:t>
      </w:r>
      <w:r>
        <w:rPr>
          <w:rFonts w:ascii="仿宋_GB2312" w:eastAsia="仿宋_GB2312"/>
          <w:sz w:val="32"/>
          <w:szCs w:val="32"/>
        </w:rPr>
        <w:t>ord</w:t>
      </w:r>
      <w:r>
        <w:rPr>
          <w:rFonts w:ascii="仿宋_GB2312" w:eastAsia="仿宋_GB2312" w:hint="eastAsia"/>
          <w:sz w:val="32"/>
          <w:szCs w:val="32"/>
        </w:rPr>
        <w:t>、</w:t>
      </w:r>
      <w:proofErr w:type="spellStart"/>
      <w:r>
        <w:rPr>
          <w:rFonts w:ascii="仿宋_GB2312" w:eastAsia="仿宋_GB2312" w:hint="eastAsia"/>
          <w:sz w:val="32"/>
          <w:szCs w:val="32"/>
        </w:rPr>
        <w:t>ppt</w:t>
      </w:r>
      <w:proofErr w:type="spellEnd"/>
      <w:r>
        <w:rPr>
          <w:rFonts w:ascii="仿宋_GB2312" w:eastAsia="仿宋_GB2312" w:hint="eastAsia"/>
          <w:sz w:val="32"/>
          <w:szCs w:val="32"/>
        </w:rPr>
        <w:t>等格式，</w:t>
      </w:r>
      <w:proofErr w:type="gramStart"/>
      <w:r>
        <w:rPr>
          <w:rFonts w:ascii="仿宋_GB2312" w:eastAsia="仿宋_GB2312" w:hint="eastAsia"/>
          <w:sz w:val="32"/>
          <w:szCs w:val="32"/>
        </w:rPr>
        <w:t>该展示</w:t>
      </w:r>
      <w:proofErr w:type="gramEnd"/>
      <w:r>
        <w:rPr>
          <w:rFonts w:ascii="仿宋_GB2312" w:eastAsia="仿宋_GB2312" w:hint="eastAsia"/>
          <w:sz w:val="32"/>
          <w:szCs w:val="32"/>
        </w:rPr>
        <w:t>报告了W</w:t>
      </w:r>
      <w:r>
        <w:rPr>
          <w:rFonts w:ascii="仿宋_GB2312" w:eastAsia="仿宋_GB2312"/>
          <w:sz w:val="32"/>
          <w:szCs w:val="32"/>
        </w:rPr>
        <w:t>ord</w:t>
      </w:r>
      <w:r>
        <w:rPr>
          <w:rFonts w:ascii="仿宋_GB2312" w:eastAsia="仿宋_GB2312" w:hint="eastAsia"/>
          <w:sz w:val="32"/>
          <w:szCs w:val="32"/>
        </w:rPr>
        <w:t>格式的报告（下页的</w:t>
      </w:r>
      <w:proofErr w:type="gramStart"/>
      <w:r>
        <w:rPr>
          <w:rFonts w:ascii="仿宋_GB2312" w:eastAsia="仿宋_GB2312" w:hint="eastAsia"/>
          <w:sz w:val="32"/>
          <w:szCs w:val="32"/>
        </w:rPr>
        <w:t>目录页指原</w:t>
      </w:r>
      <w:proofErr w:type="gramEnd"/>
      <w:r>
        <w:rPr>
          <w:rFonts w:ascii="仿宋_GB2312" w:eastAsia="仿宋_GB2312" w:hint="eastAsia"/>
          <w:sz w:val="32"/>
          <w:szCs w:val="32"/>
        </w:rPr>
        <w:t>报告的页码）。</w:t>
      </w:r>
    </w:p>
    <w:p w:rsidR="002C02E6" w:rsidRDefault="00C917C2">
      <w:pPr>
        <w:pStyle w:val="TOC"/>
        <w:spacing w:line="360" w:lineRule="auto"/>
        <w:jc w:val="center"/>
        <w:outlineLvl w:val="1"/>
        <w:rPr>
          <w:rFonts w:ascii="宋体" w:hAnsi="宋体"/>
          <w:b w:val="0"/>
          <w:sz w:val="44"/>
          <w:szCs w:val="44"/>
        </w:rPr>
      </w:pPr>
      <w:r>
        <w:rPr>
          <w:rFonts w:ascii="仿宋_GB2312" w:eastAsia="仿宋_GB2312"/>
          <w:sz w:val="32"/>
          <w:szCs w:val="32"/>
        </w:rPr>
        <w:br w:type="page"/>
      </w:r>
      <w:bookmarkStart w:id="93" w:name="_Toc517177991"/>
      <w:r>
        <w:rPr>
          <w:rFonts w:ascii="宋体" w:hAnsi="宋体" w:hint="eastAsia"/>
          <w:sz w:val="44"/>
          <w:szCs w:val="44"/>
        </w:rPr>
        <w:lastRenderedPageBreak/>
        <w:t>消化内科经济运行报告</w:t>
      </w:r>
      <w:bookmarkEnd w:id="93"/>
    </w:p>
    <w:p w:rsidR="002C02E6" w:rsidRDefault="00C917C2">
      <w:pPr>
        <w:jc w:val="center"/>
        <w:rPr>
          <w:rFonts w:ascii="宋体" w:hAnsi="宋体"/>
          <w:b/>
          <w:sz w:val="28"/>
          <w:szCs w:val="28"/>
        </w:rPr>
      </w:pPr>
      <w:r>
        <w:rPr>
          <w:rFonts w:ascii="宋体" w:hAnsi="宋体" w:hint="eastAsia"/>
          <w:b/>
          <w:sz w:val="28"/>
          <w:szCs w:val="28"/>
        </w:rPr>
        <w:t>（2017年）</w:t>
      </w:r>
    </w:p>
    <w:p w:rsidR="002C02E6" w:rsidRDefault="00C917C2">
      <w:pPr>
        <w:pStyle w:val="TOC"/>
        <w:spacing w:line="360" w:lineRule="auto"/>
      </w:pPr>
      <w:r>
        <w:rPr>
          <w:lang w:val="zh-CN"/>
        </w:rPr>
        <w:t>目录</w:t>
      </w:r>
    </w:p>
    <w:p w:rsidR="002C02E6" w:rsidRDefault="00C917C2">
      <w:pPr>
        <w:pStyle w:val="20"/>
        <w:tabs>
          <w:tab w:val="right" w:leader="dot" w:pos="8948"/>
        </w:tabs>
        <w:spacing w:line="360" w:lineRule="auto"/>
        <w:rPr>
          <w:rFonts w:ascii="等线" w:eastAsia="等线" w:hAnsi="等线"/>
          <w:noProof/>
          <w:szCs w:val="22"/>
        </w:rPr>
      </w:pPr>
      <w:r>
        <w:fldChar w:fldCharType="begin"/>
      </w:r>
      <w:r>
        <w:instrText xml:space="preserve"> TOC \o "1-3" \h \z \u </w:instrText>
      </w:r>
      <w:r>
        <w:fldChar w:fldCharType="separate"/>
      </w:r>
      <w:hyperlink w:anchor="_Toc500143183" w:history="1">
        <w:r>
          <w:rPr>
            <w:rStyle w:val="a8"/>
            <w:rFonts w:ascii="宋体" w:hint="eastAsia"/>
            <w:noProof/>
          </w:rPr>
          <w:t>一、服务量</w:t>
        </w:r>
        <w:r>
          <w:rPr>
            <w:noProof/>
            <w:webHidden/>
          </w:rPr>
          <w:tab/>
        </w:r>
        <w:r>
          <w:rPr>
            <w:noProof/>
            <w:webHidden/>
          </w:rPr>
          <w:fldChar w:fldCharType="begin"/>
        </w:r>
        <w:r>
          <w:rPr>
            <w:noProof/>
            <w:webHidden/>
          </w:rPr>
          <w:instrText xml:space="preserve"> PAGEREF _Toc500143183 \h </w:instrText>
        </w:r>
        <w:r>
          <w:rPr>
            <w:noProof/>
            <w:webHidden/>
          </w:rPr>
        </w:r>
        <w:r>
          <w:rPr>
            <w:noProof/>
            <w:webHidden/>
          </w:rPr>
          <w:fldChar w:fldCharType="separate"/>
        </w:r>
        <w:r w:rsidR="007E7C86">
          <w:rPr>
            <w:noProof/>
            <w:webHidden/>
          </w:rPr>
          <w:t>73</w:t>
        </w:r>
        <w:r>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84" w:history="1">
        <w:r w:rsidR="00C917C2">
          <w:rPr>
            <w:rStyle w:val="a8"/>
            <w:rFonts w:ascii="宋体"/>
            <w:noProof/>
          </w:rPr>
          <w:t>(</w:t>
        </w:r>
        <w:r w:rsidR="00C917C2">
          <w:rPr>
            <w:rStyle w:val="a8"/>
            <w:rFonts w:ascii="宋体" w:hint="eastAsia"/>
            <w:noProof/>
          </w:rPr>
          <w:t>一</w:t>
        </w:r>
        <w:r w:rsidR="00C917C2">
          <w:rPr>
            <w:rStyle w:val="a8"/>
            <w:rFonts w:ascii="宋体"/>
            <w:noProof/>
          </w:rPr>
          <w:t xml:space="preserve">) </w:t>
        </w:r>
        <w:r w:rsidR="00C917C2">
          <w:rPr>
            <w:rStyle w:val="a8"/>
            <w:rFonts w:ascii="宋体" w:hint="eastAsia"/>
            <w:noProof/>
          </w:rPr>
          <w:t>门诊</w:t>
        </w:r>
        <w:r w:rsidR="00C917C2">
          <w:rPr>
            <w:noProof/>
            <w:webHidden/>
          </w:rPr>
          <w:tab/>
        </w:r>
        <w:r w:rsidR="00C917C2">
          <w:rPr>
            <w:noProof/>
            <w:webHidden/>
          </w:rPr>
          <w:fldChar w:fldCharType="begin"/>
        </w:r>
        <w:r w:rsidR="00C917C2">
          <w:rPr>
            <w:noProof/>
            <w:webHidden/>
          </w:rPr>
          <w:instrText xml:space="preserve"> PAGEREF _Toc500143184 \h </w:instrText>
        </w:r>
        <w:r w:rsidR="00C917C2">
          <w:rPr>
            <w:noProof/>
            <w:webHidden/>
          </w:rPr>
        </w:r>
        <w:r w:rsidR="00C917C2">
          <w:rPr>
            <w:noProof/>
            <w:webHidden/>
          </w:rPr>
          <w:fldChar w:fldCharType="separate"/>
        </w:r>
        <w:r w:rsidR="007E7C86">
          <w:rPr>
            <w:noProof/>
            <w:webHidden/>
          </w:rPr>
          <w:t>73</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85" w:history="1">
        <w:r w:rsidR="00C917C2">
          <w:rPr>
            <w:rStyle w:val="a8"/>
            <w:rFonts w:ascii="宋体"/>
            <w:noProof/>
          </w:rPr>
          <w:t>(</w:t>
        </w:r>
        <w:r w:rsidR="00C917C2">
          <w:rPr>
            <w:rStyle w:val="a8"/>
            <w:rFonts w:ascii="宋体" w:hint="eastAsia"/>
            <w:noProof/>
          </w:rPr>
          <w:t>二</w:t>
        </w:r>
        <w:r w:rsidR="00C917C2">
          <w:rPr>
            <w:rStyle w:val="a8"/>
            <w:rFonts w:ascii="宋体"/>
            <w:noProof/>
          </w:rPr>
          <w:t xml:space="preserve">) </w:t>
        </w:r>
        <w:r w:rsidR="00C917C2">
          <w:rPr>
            <w:rStyle w:val="a8"/>
            <w:rFonts w:ascii="宋体" w:hint="eastAsia"/>
            <w:noProof/>
          </w:rPr>
          <w:t>住院</w:t>
        </w:r>
        <w:r w:rsidR="00C917C2">
          <w:rPr>
            <w:noProof/>
            <w:webHidden/>
          </w:rPr>
          <w:tab/>
        </w:r>
        <w:r w:rsidR="00C917C2">
          <w:rPr>
            <w:noProof/>
            <w:webHidden/>
          </w:rPr>
          <w:fldChar w:fldCharType="begin"/>
        </w:r>
        <w:r w:rsidR="00C917C2">
          <w:rPr>
            <w:noProof/>
            <w:webHidden/>
          </w:rPr>
          <w:instrText xml:space="preserve"> PAGEREF _Toc500143185 \h </w:instrText>
        </w:r>
        <w:r w:rsidR="00C917C2">
          <w:rPr>
            <w:noProof/>
            <w:webHidden/>
          </w:rPr>
        </w:r>
        <w:r w:rsidR="00C917C2">
          <w:rPr>
            <w:noProof/>
            <w:webHidden/>
          </w:rPr>
          <w:fldChar w:fldCharType="separate"/>
        </w:r>
        <w:r w:rsidR="007E7C86">
          <w:rPr>
            <w:noProof/>
            <w:webHidden/>
          </w:rPr>
          <w:t>75</w:t>
        </w:r>
        <w:r w:rsidR="00C917C2">
          <w:rPr>
            <w:noProof/>
            <w:webHidden/>
          </w:rPr>
          <w:fldChar w:fldCharType="end"/>
        </w:r>
      </w:hyperlink>
    </w:p>
    <w:p w:rsidR="002C02E6" w:rsidRDefault="00117DDC">
      <w:pPr>
        <w:pStyle w:val="20"/>
        <w:tabs>
          <w:tab w:val="right" w:leader="dot" w:pos="8948"/>
        </w:tabs>
        <w:spacing w:line="360" w:lineRule="auto"/>
        <w:rPr>
          <w:rFonts w:ascii="等线" w:eastAsia="等线" w:hAnsi="等线"/>
          <w:noProof/>
          <w:szCs w:val="22"/>
        </w:rPr>
      </w:pPr>
      <w:hyperlink w:anchor="_Toc500143186" w:history="1">
        <w:r w:rsidR="00C917C2">
          <w:rPr>
            <w:rStyle w:val="a8"/>
            <w:rFonts w:ascii="宋体" w:hint="eastAsia"/>
            <w:noProof/>
          </w:rPr>
          <w:t>二、经济运行状况</w:t>
        </w:r>
        <w:r w:rsidR="00C917C2">
          <w:rPr>
            <w:noProof/>
            <w:webHidden/>
          </w:rPr>
          <w:tab/>
        </w:r>
        <w:r w:rsidR="00C917C2">
          <w:rPr>
            <w:noProof/>
            <w:webHidden/>
          </w:rPr>
          <w:fldChar w:fldCharType="begin"/>
        </w:r>
        <w:r w:rsidR="00C917C2">
          <w:rPr>
            <w:noProof/>
            <w:webHidden/>
          </w:rPr>
          <w:instrText xml:space="preserve"> PAGEREF _Toc500143186 \h </w:instrText>
        </w:r>
        <w:r w:rsidR="00C917C2">
          <w:rPr>
            <w:noProof/>
            <w:webHidden/>
          </w:rPr>
        </w:r>
        <w:r w:rsidR="00C917C2">
          <w:rPr>
            <w:noProof/>
            <w:webHidden/>
          </w:rPr>
          <w:fldChar w:fldCharType="separate"/>
        </w:r>
        <w:r w:rsidR="007E7C86">
          <w:rPr>
            <w:noProof/>
            <w:webHidden/>
          </w:rPr>
          <w:t>78</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87" w:history="1">
        <w:r w:rsidR="00C917C2">
          <w:rPr>
            <w:rStyle w:val="a8"/>
            <w:rFonts w:ascii="宋体"/>
            <w:noProof/>
          </w:rPr>
          <w:t>(</w:t>
        </w:r>
        <w:r w:rsidR="00C917C2">
          <w:rPr>
            <w:rStyle w:val="a8"/>
            <w:rFonts w:ascii="宋体" w:hint="eastAsia"/>
            <w:noProof/>
          </w:rPr>
          <w:t>一</w:t>
        </w:r>
        <w:r w:rsidR="00C917C2">
          <w:rPr>
            <w:rStyle w:val="a8"/>
            <w:rFonts w:ascii="宋体"/>
            <w:noProof/>
          </w:rPr>
          <w:t xml:space="preserve">) </w:t>
        </w:r>
        <w:r w:rsidR="00C917C2">
          <w:rPr>
            <w:rStyle w:val="a8"/>
            <w:rFonts w:ascii="宋体" w:hint="eastAsia"/>
            <w:noProof/>
          </w:rPr>
          <w:t>收入</w:t>
        </w:r>
        <w:r w:rsidR="00C917C2">
          <w:rPr>
            <w:noProof/>
            <w:webHidden/>
          </w:rPr>
          <w:tab/>
        </w:r>
        <w:r w:rsidR="00C917C2">
          <w:rPr>
            <w:noProof/>
            <w:webHidden/>
          </w:rPr>
          <w:fldChar w:fldCharType="begin"/>
        </w:r>
        <w:r w:rsidR="00C917C2">
          <w:rPr>
            <w:noProof/>
            <w:webHidden/>
          </w:rPr>
          <w:instrText xml:space="preserve"> PAGEREF _Toc500143187 \h </w:instrText>
        </w:r>
        <w:r w:rsidR="00C917C2">
          <w:rPr>
            <w:noProof/>
            <w:webHidden/>
          </w:rPr>
        </w:r>
        <w:r w:rsidR="00C917C2">
          <w:rPr>
            <w:noProof/>
            <w:webHidden/>
          </w:rPr>
          <w:fldChar w:fldCharType="separate"/>
        </w:r>
        <w:r w:rsidR="007E7C86">
          <w:rPr>
            <w:noProof/>
            <w:webHidden/>
          </w:rPr>
          <w:t>78</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88" w:history="1">
        <w:r w:rsidR="00C917C2">
          <w:rPr>
            <w:rStyle w:val="a8"/>
            <w:rFonts w:ascii="宋体"/>
            <w:noProof/>
          </w:rPr>
          <w:t>(</w:t>
        </w:r>
        <w:r w:rsidR="00C917C2">
          <w:rPr>
            <w:rStyle w:val="a8"/>
            <w:rFonts w:ascii="宋体" w:hint="eastAsia"/>
            <w:noProof/>
          </w:rPr>
          <w:t>二</w:t>
        </w:r>
        <w:r w:rsidR="00C917C2">
          <w:rPr>
            <w:rStyle w:val="a8"/>
            <w:rFonts w:ascii="宋体"/>
            <w:noProof/>
          </w:rPr>
          <w:t xml:space="preserve">) </w:t>
        </w:r>
        <w:r w:rsidR="00C917C2">
          <w:rPr>
            <w:rStyle w:val="a8"/>
            <w:rFonts w:ascii="宋体" w:hint="eastAsia"/>
            <w:noProof/>
          </w:rPr>
          <w:t>成本</w:t>
        </w:r>
        <w:r w:rsidR="00C917C2">
          <w:rPr>
            <w:noProof/>
            <w:webHidden/>
          </w:rPr>
          <w:tab/>
        </w:r>
        <w:r w:rsidR="00C917C2">
          <w:rPr>
            <w:noProof/>
            <w:webHidden/>
          </w:rPr>
          <w:fldChar w:fldCharType="begin"/>
        </w:r>
        <w:r w:rsidR="00C917C2">
          <w:rPr>
            <w:noProof/>
            <w:webHidden/>
          </w:rPr>
          <w:instrText xml:space="preserve"> PAGEREF _Toc500143188 \h </w:instrText>
        </w:r>
        <w:r w:rsidR="00C917C2">
          <w:rPr>
            <w:noProof/>
            <w:webHidden/>
          </w:rPr>
        </w:r>
        <w:r w:rsidR="00C917C2">
          <w:rPr>
            <w:noProof/>
            <w:webHidden/>
          </w:rPr>
          <w:fldChar w:fldCharType="separate"/>
        </w:r>
        <w:r w:rsidR="007E7C86">
          <w:rPr>
            <w:noProof/>
            <w:webHidden/>
          </w:rPr>
          <w:t>80</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89" w:history="1">
        <w:r w:rsidR="00C917C2">
          <w:rPr>
            <w:rStyle w:val="a8"/>
            <w:rFonts w:ascii="宋体"/>
            <w:noProof/>
          </w:rPr>
          <w:t>(</w:t>
        </w:r>
        <w:r w:rsidR="00C917C2">
          <w:rPr>
            <w:rStyle w:val="a8"/>
            <w:rFonts w:ascii="宋体" w:hint="eastAsia"/>
            <w:noProof/>
          </w:rPr>
          <w:t>三</w:t>
        </w:r>
        <w:r w:rsidR="00C917C2">
          <w:rPr>
            <w:rStyle w:val="a8"/>
            <w:rFonts w:ascii="宋体"/>
            <w:noProof/>
          </w:rPr>
          <w:t xml:space="preserve">) </w:t>
        </w:r>
        <w:r w:rsidR="00C917C2">
          <w:rPr>
            <w:rStyle w:val="a8"/>
            <w:rFonts w:ascii="宋体" w:hint="eastAsia"/>
            <w:noProof/>
          </w:rPr>
          <w:t>收支结余</w:t>
        </w:r>
        <w:r w:rsidR="00C917C2">
          <w:rPr>
            <w:noProof/>
            <w:webHidden/>
          </w:rPr>
          <w:tab/>
        </w:r>
        <w:r w:rsidR="00C917C2">
          <w:rPr>
            <w:noProof/>
            <w:webHidden/>
          </w:rPr>
          <w:fldChar w:fldCharType="begin"/>
        </w:r>
        <w:r w:rsidR="00C917C2">
          <w:rPr>
            <w:noProof/>
            <w:webHidden/>
          </w:rPr>
          <w:instrText xml:space="preserve"> PAGEREF _Toc500143189 \h </w:instrText>
        </w:r>
        <w:r w:rsidR="00C917C2">
          <w:rPr>
            <w:noProof/>
            <w:webHidden/>
          </w:rPr>
        </w:r>
        <w:r w:rsidR="00C917C2">
          <w:rPr>
            <w:noProof/>
            <w:webHidden/>
          </w:rPr>
          <w:fldChar w:fldCharType="separate"/>
        </w:r>
        <w:r w:rsidR="007E7C86">
          <w:rPr>
            <w:noProof/>
            <w:webHidden/>
          </w:rPr>
          <w:t>82</w:t>
        </w:r>
        <w:r w:rsidR="00C917C2">
          <w:rPr>
            <w:noProof/>
            <w:webHidden/>
          </w:rPr>
          <w:fldChar w:fldCharType="end"/>
        </w:r>
      </w:hyperlink>
    </w:p>
    <w:p w:rsidR="002C02E6" w:rsidRDefault="00117DDC">
      <w:pPr>
        <w:pStyle w:val="20"/>
        <w:tabs>
          <w:tab w:val="right" w:leader="dot" w:pos="8948"/>
        </w:tabs>
        <w:spacing w:line="360" w:lineRule="auto"/>
        <w:rPr>
          <w:rFonts w:ascii="等线" w:eastAsia="等线" w:hAnsi="等线"/>
          <w:noProof/>
          <w:szCs w:val="22"/>
        </w:rPr>
      </w:pPr>
      <w:hyperlink w:anchor="_Toc500143190" w:history="1">
        <w:r w:rsidR="00C917C2">
          <w:rPr>
            <w:rStyle w:val="a8"/>
            <w:rFonts w:ascii="宋体" w:hint="eastAsia"/>
            <w:noProof/>
          </w:rPr>
          <w:t>三、控费情况</w:t>
        </w:r>
        <w:r w:rsidR="00C917C2">
          <w:rPr>
            <w:noProof/>
            <w:webHidden/>
          </w:rPr>
          <w:tab/>
        </w:r>
        <w:r w:rsidR="00C917C2">
          <w:rPr>
            <w:noProof/>
            <w:webHidden/>
          </w:rPr>
          <w:fldChar w:fldCharType="begin"/>
        </w:r>
        <w:r w:rsidR="00C917C2">
          <w:rPr>
            <w:noProof/>
            <w:webHidden/>
          </w:rPr>
          <w:instrText xml:space="preserve"> PAGEREF _Toc500143190 \h </w:instrText>
        </w:r>
        <w:r w:rsidR="00C917C2">
          <w:rPr>
            <w:noProof/>
            <w:webHidden/>
          </w:rPr>
        </w:r>
        <w:r w:rsidR="00C917C2">
          <w:rPr>
            <w:noProof/>
            <w:webHidden/>
          </w:rPr>
          <w:fldChar w:fldCharType="separate"/>
        </w:r>
        <w:r w:rsidR="007E7C86">
          <w:rPr>
            <w:noProof/>
            <w:webHidden/>
          </w:rPr>
          <w:t>83</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91" w:history="1">
        <w:r w:rsidR="00C917C2">
          <w:rPr>
            <w:rStyle w:val="a8"/>
            <w:rFonts w:ascii="宋体"/>
            <w:noProof/>
          </w:rPr>
          <w:t>(</w:t>
        </w:r>
        <w:r w:rsidR="00C917C2">
          <w:rPr>
            <w:rStyle w:val="a8"/>
            <w:rFonts w:ascii="宋体" w:hint="eastAsia"/>
            <w:noProof/>
          </w:rPr>
          <w:t>一</w:t>
        </w:r>
        <w:r w:rsidR="00C917C2">
          <w:rPr>
            <w:rStyle w:val="a8"/>
            <w:rFonts w:ascii="宋体"/>
            <w:noProof/>
          </w:rPr>
          <w:t xml:space="preserve">) </w:t>
        </w:r>
        <w:r w:rsidR="00C917C2">
          <w:rPr>
            <w:rStyle w:val="a8"/>
            <w:rFonts w:ascii="宋体" w:hint="eastAsia"/>
            <w:noProof/>
          </w:rPr>
          <w:t>门诊</w:t>
        </w:r>
        <w:r w:rsidR="00C917C2">
          <w:rPr>
            <w:noProof/>
            <w:webHidden/>
          </w:rPr>
          <w:tab/>
        </w:r>
        <w:r w:rsidR="00C917C2">
          <w:rPr>
            <w:noProof/>
            <w:webHidden/>
          </w:rPr>
          <w:fldChar w:fldCharType="begin"/>
        </w:r>
        <w:r w:rsidR="00C917C2">
          <w:rPr>
            <w:noProof/>
            <w:webHidden/>
          </w:rPr>
          <w:instrText xml:space="preserve"> PAGEREF _Toc500143191 \h </w:instrText>
        </w:r>
        <w:r w:rsidR="00C917C2">
          <w:rPr>
            <w:noProof/>
            <w:webHidden/>
          </w:rPr>
        </w:r>
        <w:r w:rsidR="00C917C2">
          <w:rPr>
            <w:noProof/>
            <w:webHidden/>
          </w:rPr>
          <w:fldChar w:fldCharType="separate"/>
        </w:r>
        <w:r w:rsidR="007E7C86">
          <w:rPr>
            <w:noProof/>
            <w:webHidden/>
          </w:rPr>
          <w:t>83</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92" w:history="1">
        <w:r w:rsidR="00C917C2">
          <w:rPr>
            <w:rStyle w:val="a8"/>
            <w:rFonts w:ascii="宋体"/>
            <w:noProof/>
          </w:rPr>
          <w:t>(</w:t>
        </w:r>
        <w:r w:rsidR="00C917C2">
          <w:rPr>
            <w:rStyle w:val="a8"/>
            <w:rFonts w:ascii="宋体" w:hint="eastAsia"/>
            <w:noProof/>
          </w:rPr>
          <w:t>二</w:t>
        </w:r>
        <w:r w:rsidR="00C917C2">
          <w:rPr>
            <w:rStyle w:val="a8"/>
            <w:rFonts w:ascii="宋体"/>
            <w:noProof/>
          </w:rPr>
          <w:t xml:space="preserve">) </w:t>
        </w:r>
        <w:r w:rsidR="00C917C2">
          <w:rPr>
            <w:rStyle w:val="a8"/>
            <w:rFonts w:ascii="宋体" w:hint="eastAsia"/>
            <w:noProof/>
          </w:rPr>
          <w:t>住院</w:t>
        </w:r>
        <w:r w:rsidR="00C917C2">
          <w:rPr>
            <w:noProof/>
            <w:webHidden/>
          </w:rPr>
          <w:tab/>
        </w:r>
        <w:r w:rsidR="00C917C2">
          <w:rPr>
            <w:noProof/>
            <w:webHidden/>
          </w:rPr>
          <w:fldChar w:fldCharType="begin"/>
        </w:r>
        <w:r w:rsidR="00C917C2">
          <w:rPr>
            <w:noProof/>
            <w:webHidden/>
          </w:rPr>
          <w:instrText xml:space="preserve"> PAGEREF _Toc500143192 \h </w:instrText>
        </w:r>
        <w:r w:rsidR="00C917C2">
          <w:rPr>
            <w:noProof/>
            <w:webHidden/>
          </w:rPr>
        </w:r>
        <w:r w:rsidR="00C917C2">
          <w:rPr>
            <w:noProof/>
            <w:webHidden/>
          </w:rPr>
          <w:fldChar w:fldCharType="separate"/>
        </w:r>
        <w:r w:rsidR="007E7C86">
          <w:rPr>
            <w:noProof/>
            <w:webHidden/>
          </w:rPr>
          <w:t>84</w:t>
        </w:r>
        <w:r w:rsidR="00C917C2">
          <w:rPr>
            <w:noProof/>
            <w:webHidden/>
          </w:rPr>
          <w:fldChar w:fldCharType="end"/>
        </w:r>
      </w:hyperlink>
    </w:p>
    <w:p w:rsidR="002C02E6" w:rsidRDefault="00117DDC">
      <w:pPr>
        <w:pStyle w:val="30"/>
        <w:tabs>
          <w:tab w:val="right" w:leader="dot" w:pos="8948"/>
        </w:tabs>
        <w:spacing w:line="360" w:lineRule="auto"/>
        <w:rPr>
          <w:rFonts w:ascii="等线" w:eastAsia="等线" w:hAnsi="等线"/>
          <w:noProof/>
          <w:szCs w:val="22"/>
        </w:rPr>
      </w:pPr>
      <w:hyperlink w:anchor="_Toc500143193" w:history="1">
        <w:r w:rsidR="00C917C2">
          <w:rPr>
            <w:rStyle w:val="a8"/>
            <w:rFonts w:ascii="宋体"/>
            <w:noProof/>
          </w:rPr>
          <w:t>(</w:t>
        </w:r>
        <w:r w:rsidR="00C917C2">
          <w:rPr>
            <w:rStyle w:val="a8"/>
            <w:rFonts w:ascii="宋体" w:hint="eastAsia"/>
            <w:noProof/>
          </w:rPr>
          <w:t>三</w:t>
        </w:r>
        <w:r w:rsidR="00C917C2">
          <w:rPr>
            <w:rStyle w:val="a8"/>
            <w:rFonts w:ascii="宋体"/>
            <w:noProof/>
          </w:rPr>
          <w:t xml:space="preserve">) </w:t>
        </w:r>
        <w:r w:rsidR="00C917C2">
          <w:rPr>
            <w:rStyle w:val="a8"/>
            <w:rFonts w:ascii="宋体" w:hint="eastAsia"/>
            <w:noProof/>
          </w:rPr>
          <w:t>青岛市控费考核指标执行情况</w:t>
        </w:r>
        <w:r w:rsidR="00C917C2">
          <w:rPr>
            <w:noProof/>
            <w:webHidden/>
          </w:rPr>
          <w:tab/>
        </w:r>
        <w:r w:rsidR="00C917C2">
          <w:rPr>
            <w:noProof/>
            <w:webHidden/>
          </w:rPr>
          <w:fldChar w:fldCharType="begin"/>
        </w:r>
        <w:r w:rsidR="00C917C2">
          <w:rPr>
            <w:noProof/>
            <w:webHidden/>
          </w:rPr>
          <w:instrText xml:space="preserve"> PAGEREF _Toc500143193 \h </w:instrText>
        </w:r>
        <w:r w:rsidR="00C917C2">
          <w:rPr>
            <w:noProof/>
            <w:webHidden/>
          </w:rPr>
        </w:r>
        <w:r w:rsidR="00C917C2">
          <w:rPr>
            <w:noProof/>
            <w:webHidden/>
          </w:rPr>
          <w:fldChar w:fldCharType="separate"/>
        </w:r>
        <w:r w:rsidR="007E7C86">
          <w:rPr>
            <w:noProof/>
            <w:webHidden/>
          </w:rPr>
          <w:t>86</w:t>
        </w:r>
        <w:r w:rsidR="00C917C2">
          <w:rPr>
            <w:noProof/>
            <w:webHidden/>
          </w:rPr>
          <w:fldChar w:fldCharType="end"/>
        </w:r>
      </w:hyperlink>
    </w:p>
    <w:p w:rsidR="002C02E6" w:rsidRDefault="00C917C2">
      <w:pPr>
        <w:jc w:val="center"/>
      </w:pPr>
      <w:r>
        <w:fldChar w:fldCharType="end"/>
      </w:r>
    </w:p>
    <w:p w:rsidR="002C02E6" w:rsidRDefault="00C917C2">
      <w:pPr>
        <w:pStyle w:val="3"/>
        <w:ind w:firstLine="643"/>
        <w:rPr>
          <w:rFonts w:ascii="宋体"/>
          <w:sz w:val="24"/>
        </w:rPr>
      </w:pPr>
      <w:r>
        <w:br w:type="page"/>
      </w:r>
      <w:bookmarkStart w:id="94" w:name="_Toc500143183"/>
      <w:bookmarkStart w:id="95" w:name="_Toc517177992"/>
      <w:r>
        <w:rPr>
          <w:rFonts w:ascii="宋体" w:hint="eastAsia"/>
          <w:sz w:val="24"/>
        </w:rPr>
        <w:lastRenderedPageBreak/>
        <w:t>一、服务量</w:t>
      </w:r>
      <w:bookmarkEnd w:id="94"/>
      <w:bookmarkEnd w:id="95"/>
    </w:p>
    <w:p w:rsidR="002C02E6" w:rsidRDefault="00C917C2">
      <w:pPr>
        <w:pStyle w:val="4"/>
        <w:ind w:firstLine="482"/>
        <w:rPr>
          <w:b/>
        </w:rPr>
      </w:pPr>
      <w:bookmarkStart w:id="96" w:name="_Toc500143184"/>
      <w:r>
        <w:rPr>
          <w:rFonts w:ascii="宋体" w:hint="eastAsia"/>
          <w:b/>
          <w:sz w:val="24"/>
        </w:rPr>
        <w:t>(</w:t>
      </w:r>
      <w:proofErr w:type="gramStart"/>
      <w:r>
        <w:rPr>
          <w:rFonts w:ascii="宋体" w:hint="eastAsia"/>
          <w:b/>
          <w:sz w:val="24"/>
        </w:rPr>
        <w:t>一</w:t>
      </w:r>
      <w:proofErr w:type="gramEnd"/>
      <w:r>
        <w:rPr>
          <w:rFonts w:ascii="宋体" w:hint="eastAsia"/>
          <w:b/>
          <w:sz w:val="24"/>
        </w:rPr>
        <w:t>) 门诊</w:t>
      </w:r>
      <w:bookmarkEnd w:id="96"/>
    </w:p>
    <w:p w:rsidR="002C02E6" w:rsidRDefault="00C917C2">
      <w:pPr>
        <w:pStyle w:val="a4"/>
        <w:numPr>
          <w:ilvl w:val="0"/>
          <w:numId w:val="29"/>
        </w:numPr>
        <w:spacing w:beforeLines="50" w:before="156" w:afterLines="50" w:after="156"/>
        <w:ind w:left="777" w:firstLineChars="0" w:hanging="357"/>
        <w:rPr>
          <w:rFonts w:ascii="宋体"/>
          <w:sz w:val="24"/>
        </w:rPr>
      </w:pPr>
      <w:r>
        <w:rPr>
          <w:rFonts w:ascii="宋体" w:hint="eastAsia"/>
          <w:sz w:val="24"/>
        </w:rPr>
        <w:t>工作量</w:t>
      </w:r>
    </w:p>
    <w:p w:rsidR="002C02E6" w:rsidRDefault="00C917C2">
      <w:pPr>
        <w:pStyle w:val="ac"/>
        <w:spacing w:before="0" w:after="0"/>
        <w:ind w:firstLine="567"/>
        <w:jc w:val="both"/>
        <w:outlineLvl w:val="9"/>
        <w:rPr>
          <w:rFonts w:ascii="宋体" w:hAnsi="Times New Roman"/>
          <w:b w:val="0"/>
          <w:bCs w:val="0"/>
          <w:sz w:val="24"/>
          <w:szCs w:val="24"/>
        </w:rPr>
      </w:pPr>
      <w:r>
        <w:rPr>
          <w:rFonts w:ascii="宋体" w:hAnsi="Times New Roman" w:hint="eastAsia"/>
          <w:b w:val="0"/>
          <w:bCs w:val="0"/>
          <w:sz w:val="24"/>
          <w:szCs w:val="24"/>
        </w:rPr>
        <w:t>2017年</w:t>
      </w:r>
      <w:r>
        <w:rPr>
          <w:rFonts w:ascii="宋体" w:hAnsi="Times New Roman"/>
          <w:b w:val="0"/>
          <w:bCs w:val="0"/>
          <w:sz w:val="24"/>
          <w:szCs w:val="24"/>
        </w:rPr>
        <w:t>完成门诊工作量</w:t>
      </w:r>
      <w:r>
        <w:rPr>
          <w:rFonts w:ascii="宋体" w:hAnsi="Times New Roman" w:hint="eastAsia"/>
          <w:b w:val="0"/>
          <w:bCs w:val="0"/>
          <w:sz w:val="24"/>
          <w:szCs w:val="24"/>
        </w:rPr>
        <w:t>234213</w:t>
      </w:r>
      <w:r>
        <w:rPr>
          <w:rFonts w:ascii="宋体" w:hAnsi="Times New Roman"/>
          <w:b w:val="0"/>
          <w:bCs w:val="0"/>
          <w:sz w:val="24"/>
          <w:szCs w:val="24"/>
        </w:rPr>
        <w:t>人次，</w:t>
      </w:r>
      <w:r>
        <w:rPr>
          <w:rFonts w:ascii="宋体" w:hAnsi="Times New Roman" w:hint="eastAsia"/>
          <w:b w:val="0"/>
          <w:bCs w:val="0"/>
          <w:sz w:val="24"/>
          <w:szCs w:val="24"/>
        </w:rPr>
        <w:t>较上年同期增加-20923人次，增幅-8.20%。</w:t>
      </w:r>
    </w:p>
    <w:p w:rsidR="002C02E6" w:rsidRDefault="002C02E6"/>
    <w:p w:rsidR="002C02E6" w:rsidRDefault="00C917C2">
      <w:pPr>
        <w:pStyle w:val="ac"/>
        <w:spacing w:before="0" w:after="0"/>
        <w:ind w:firstLine="567"/>
        <w:outlineLvl w:val="9"/>
        <w:rPr>
          <w:rFonts w:ascii="宋体" w:hAnsi="Times New Roman"/>
          <w:b w:val="0"/>
          <w:bCs w:val="0"/>
          <w:sz w:val="18"/>
          <w:szCs w:val="18"/>
        </w:rPr>
      </w:pPr>
      <w:r>
        <w:rPr>
          <w:noProof/>
        </w:rPr>
        <w:t xml:space="preserve"> </w:t>
      </w:r>
      <w:r>
        <w:rPr>
          <w:noProof/>
        </w:rPr>
        <w:drawing>
          <wp:inline distT="0" distB="0" distL="0" distR="0">
            <wp:extent cx="4289425" cy="2668905"/>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2C02E6"/>
    <w:p w:rsidR="002C02E6" w:rsidRDefault="00C917C2">
      <w:pPr>
        <w:ind w:left="420"/>
        <w:jc w:val="center"/>
        <w:rPr>
          <w:rFonts w:ascii="宋体"/>
          <w:b/>
          <w:szCs w:val="21"/>
        </w:rPr>
      </w:pPr>
      <w:r>
        <w:rPr>
          <w:rFonts w:ascii="宋体" w:hint="eastAsia"/>
          <w:b/>
          <w:szCs w:val="21"/>
        </w:rPr>
        <w:t>2017年各院区门急诊</w:t>
      </w:r>
      <w:proofErr w:type="gramStart"/>
      <w:r>
        <w:rPr>
          <w:rFonts w:ascii="宋体" w:hint="eastAsia"/>
          <w:b/>
          <w:szCs w:val="21"/>
        </w:rPr>
        <w:t>人次情况</w:t>
      </w:r>
      <w:proofErr w:type="gramEnd"/>
      <w:r>
        <w:rPr>
          <w:rFonts w:ascii="宋体" w:hint="eastAsia"/>
          <w:b/>
          <w:szCs w:val="21"/>
        </w:rPr>
        <w:t>表</w:t>
      </w:r>
    </w:p>
    <w:p w:rsidR="002C02E6" w:rsidRDefault="00C917C2">
      <w:pPr>
        <w:ind w:left="420"/>
        <w:jc w:val="center"/>
        <w:rPr>
          <w:rFonts w:ascii="宋体"/>
          <w:sz w:val="24"/>
        </w:rPr>
      </w:pPr>
      <w:r>
        <w:rPr>
          <w:rFonts w:ascii="宋体" w:hint="eastAsia"/>
          <w:sz w:val="24"/>
        </w:rPr>
        <w:tab/>
      </w:r>
      <w:r>
        <w:rPr>
          <w:rFonts w:ascii="宋体" w:hint="eastAsia"/>
          <w:sz w:val="24"/>
        </w:rPr>
        <w:tab/>
      </w:r>
      <w:r>
        <w:rPr>
          <w:rFonts w:ascii="宋体" w:hint="eastAsia"/>
          <w:sz w:val="24"/>
        </w:rPr>
        <w:tab/>
      </w:r>
      <w:r>
        <w:rPr>
          <w:rFonts w:ascii="宋体" w:hint="eastAsia"/>
          <w:sz w:val="24"/>
        </w:rPr>
        <w:tab/>
      </w:r>
      <w:r>
        <w:rPr>
          <w:rFonts w:ascii="宋体" w:hint="eastAsia"/>
          <w:sz w:val="24"/>
        </w:rPr>
        <w:tab/>
      </w:r>
    </w:p>
    <w:p w:rsidR="002C02E6" w:rsidRDefault="00C917C2">
      <w:pPr>
        <w:ind w:left="420" w:right="720"/>
        <w:jc w:val="right"/>
        <w:rPr>
          <w:sz w:val="18"/>
          <w:szCs w:val="18"/>
        </w:rPr>
      </w:pPr>
      <w:r>
        <w:rPr>
          <w:rFonts w:ascii="宋体" w:hint="eastAsia"/>
          <w:sz w:val="18"/>
          <w:szCs w:val="18"/>
        </w:rPr>
        <w:t>单位：人次</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101986</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116877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-14891</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-12.74%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75306</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76060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-754</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-0.99%</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56921</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62199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-5278</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-8.49%</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234213</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255136</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-20923</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-8.20%</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18"/>
          <w:szCs w:val="18"/>
        </w:rPr>
      </w:pPr>
      <w:r>
        <w:rPr>
          <w:noProof/>
        </w:rPr>
        <w:lastRenderedPageBreak/>
        <w:t xml:space="preserve"> </w:t>
      </w:r>
      <w:r>
        <w:rPr>
          <w:noProof/>
        </w:rPr>
        <w:drawing>
          <wp:inline distT="0" distB="0" distL="0" distR="0">
            <wp:extent cx="4951095" cy="3144520"/>
            <wp:effectExtent l="0" t="0" r="0" b="0"/>
            <wp:docPr id="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1095" cy="3144520"/>
                    </a:xfrm>
                    <a:prstGeom prst="rect">
                      <a:avLst/>
                    </a:prstGeom>
                    <a:noFill/>
                    <a:ln>
                      <a:noFill/>
                    </a:ln>
                  </pic:spPr>
                </pic:pic>
              </a:graphicData>
            </a:graphic>
          </wp:inline>
        </w:drawing>
      </w:r>
    </w:p>
    <w:p w:rsidR="002C02E6" w:rsidRDefault="00C917C2">
      <w:pPr>
        <w:pStyle w:val="a4"/>
        <w:numPr>
          <w:ilvl w:val="0"/>
          <w:numId w:val="29"/>
        </w:numPr>
        <w:spacing w:beforeLines="50" w:before="156" w:afterLines="50" w:after="156"/>
        <w:ind w:left="777" w:firstLineChars="0" w:hanging="357"/>
        <w:rPr>
          <w:rFonts w:ascii="宋体"/>
          <w:sz w:val="24"/>
        </w:rPr>
      </w:pPr>
      <w:r>
        <w:rPr>
          <w:rFonts w:ascii="宋体" w:hint="eastAsia"/>
          <w:sz w:val="24"/>
        </w:rPr>
        <w:t>每门诊人次费用</w:t>
      </w:r>
    </w:p>
    <w:p w:rsidR="002C02E6" w:rsidRDefault="00C917C2">
      <w:pPr>
        <w:pStyle w:val="ac"/>
        <w:spacing w:before="0" w:after="0"/>
        <w:ind w:firstLine="567"/>
        <w:jc w:val="both"/>
        <w:outlineLvl w:val="9"/>
        <w:rPr>
          <w:rFonts w:ascii="宋体" w:hAnsi="Times New Roman"/>
          <w:b w:val="0"/>
          <w:bCs w:val="0"/>
          <w:sz w:val="24"/>
          <w:szCs w:val="24"/>
        </w:rPr>
      </w:pPr>
      <w:r>
        <w:rPr>
          <w:rFonts w:ascii="宋体" w:hAnsi="Times New Roman" w:hint="eastAsia"/>
          <w:b w:val="0"/>
          <w:bCs w:val="0"/>
          <w:sz w:val="24"/>
          <w:szCs w:val="24"/>
        </w:rPr>
        <w:t>2017年每诊次费用392.61元,较上年同期359.89元增加33元，增幅9.09%。</w:t>
      </w:r>
    </w:p>
    <w:p w:rsidR="002C02E6" w:rsidRDefault="00C917C2">
      <w:pPr>
        <w:pStyle w:val="ac"/>
        <w:spacing w:before="0" w:after="0"/>
        <w:ind w:firstLine="567"/>
        <w:outlineLvl w:val="9"/>
        <w:rPr>
          <w:rFonts w:ascii="宋体" w:hAnsi="Times New Roman"/>
          <w:b w:val="0"/>
          <w:bCs w:val="0"/>
          <w:sz w:val="18"/>
          <w:szCs w:val="18"/>
        </w:rPr>
      </w:pPr>
      <w:r>
        <w:rPr>
          <w:noProof/>
        </w:rPr>
        <w:t xml:space="preserve"> </w:t>
      </w:r>
      <w:r>
        <w:rPr>
          <w:noProof/>
        </w:rPr>
        <w:drawing>
          <wp:inline distT="0" distB="0" distL="0" distR="0">
            <wp:extent cx="4289425" cy="2668905"/>
            <wp:effectExtent l="0" t="0" r="0" b="0"/>
            <wp:docPr id="6"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pStyle w:val="a4"/>
        <w:ind w:left="1200" w:firstLineChars="0" w:firstLine="60"/>
        <w:jc w:val="center"/>
        <w:rPr>
          <w:rFonts w:ascii="宋体"/>
          <w:b/>
          <w:szCs w:val="21"/>
        </w:rPr>
      </w:pPr>
      <w:r>
        <w:rPr>
          <w:rFonts w:ascii="宋体" w:hint="eastAsia"/>
          <w:b/>
          <w:szCs w:val="21"/>
        </w:rPr>
        <w:t>2017年各院区每门诊人次费用情况表</w:t>
      </w:r>
    </w:p>
    <w:p w:rsidR="002C02E6" w:rsidRDefault="00C917C2">
      <w:pPr>
        <w:ind w:left="420" w:right="720"/>
        <w:jc w:val="right"/>
        <w:rPr>
          <w:sz w:val="18"/>
          <w:szCs w:val="18"/>
        </w:rPr>
      </w:pPr>
      <w:r>
        <w:rPr>
          <w:rFonts w:ascii="宋体" w:hint="eastAsia"/>
          <w:sz w:val="18"/>
          <w:szCs w:val="18"/>
        </w:rPr>
        <w:t>单位：元</w:t>
      </w:r>
    </w:p>
    <w:p w:rsidR="002C02E6" w:rsidRDefault="00C917C2">
      <w:pPr>
        <w:pStyle w:val="ac"/>
        <w:spacing w:before="0" w:after="0"/>
        <w:ind w:firstLine="567"/>
        <w:jc w:val="both"/>
        <w:outlineLvl w:val="9"/>
        <w:rPr>
          <w:rFonts w:ascii="宋体" w:hAnsi="Times New Roman"/>
          <w:b w:val="0"/>
          <w:bCs w:val="0"/>
          <w:sz w:val="18"/>
          <w:szCs w:val="18"/>
        </w:rPr>
      </w:pPr>
      <w:r>
        <w:rPr>
          <w:rFonts w:ascii="宋体" w:hAnsi="Times New Roman" w:hint="eastAsia"/>
          <w:b w:val="0"/>
          <w:bCs w:val="0"/>
          <w:sz w:val="18"/>
          <w:szCs w:val="18"/>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409.34</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382.35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7.06%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393.77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338.69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16.26%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lastRenderedPageBreak/>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361.1</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343.61</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5.09%</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392.61</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359.89</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33</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9.09%</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4"/>
        <w:ind w:firstLine="482"/>
        <w:rPr>
          <w:rFonts w:ascii="宋体"/>
          <w:b/>
          <w:sz w:val="24"/>
        </w:rPr>
      </w:pPr>
      <w:bookmarkStart w:id="97" w:name="_Toc500143185"/>
      <w:r>
        <w:rPr>
          <w:rFonts w:ascii="宋体" w:hint="eastAsia"/>
          <w:b/>
          <w:sz w:val="24"/>
        </w:rPr>
        <w:t>(二) 住院</w:t>
      </w:r>
      <w:bookmarkEnd w:id="97"/>
    </w:p>
    <w:p w:rsidR="002C02E6" w:rsidRDefault="00C917C2">
      <w:pPr>
        <w:rPr>
          <w:rFonts w:ascii="宋体"/>
          <w:sz w:val="24"/>
        </w:rPr>
      </w:pPr>
      <w:r>
        <w:rPr>
          <w:rFonts w:ascii="宋体" w:hint="eastAsia"/>
          <w:sz w:val="24"/>
        </w:rPr>
        <w:t>1.工作量</w:t>
      </w:r>
    </w:p>
    <w:p w:rsidR="002C02E6" w:rsidRDefault="00C917C2">
      <w:pPr>
        <w:pStyle w:val="ac"/>
        <w:spacing w:before="0" w:after="0"/>
        <w:ind w:firstLine="567"/>
        <w:jc w:val="both"/>
        <w:outlineLvl w:val="9"/>
        <w:rPr>
          <w:rFonts w:ascii="宋体" w:hAnsi="Times New Roman"/>
          <w:b w:val="0"/>
          <w:bCs w:val="0"/>
          <w:sz w:val="24"/>
          <w:szCs w:val="24"/>
        </w:rPr>
      </w:pPr>
      <w:r>
        <w:rPr>
          <w:rFonts w:ascii="宋体" w:hAnsi="Times New Roman" w:hint="eastAsia"/>
          <w:b w:val="0"/>
          <w:bCs w:val="0"/>
          <w:sz w:val="24"/>
          <w:szCs w:val="24"/>
        </w:rPr>
        <w:t>2017年完成实际</w:t>
      </w:r>
      <w:proofErr w:type="gramStart"/>
      <w:r>
        <w:rPr>
          <w:rFonts w:ascii="宋体" w:hAnsi="Times New Roman" w:hint="eastAsia"/>
          <w:b w:val="0"/>
          <w:bCs w:val="0"/>
          <w:sz w:val="24"/>
          <w:szCs w:val="24"/>
        </w:rPr>
        <w:t>占用床日</w:t>
      </w:r>
      <w:proofErr w:type="gramEnd"/>
      <w:r>
        <w:rPr>
          <w:rFonts w:ascii="宋体" w:hAnsi="Times New Roman" w:hint="eastAsia"/>
          <w:b w:val="0"/>
          <w:bCs w:val="0"/>
          <w:sz w:val="24"/>
          <w:szCs w:val="24"/>
        </w:rPr>
        <w:t>40781床日，较上年同期39658</w:t>
      </w:r>
      <w:proofErr w:type="gramStart"/>
      <w:r>
        <w:rPr>
          <w:rFonts w:ascii="宋体" w:hAnsi="Times New Roman" w:hint="eastAsia"/>
          <w:b w:val="0"/>
          <w:bCs w:val="0"/>
          <w:sz w:val="24"/>
          <w:szCs w:val="24"/>
        </w:rPr>
        <w:t>床日增加</w:t>
      </w:r>
      <w:proofErr w:type="gramEnd"/>
      <w:r>
        <w:rPr>
          <w:rFonts w:ascii="宋体" w:hAnsi="Times New Roman" w:hint="eastAsia"/>
          <w:b w:val="0"/>
          <w:bCs w:val="0"/>
          <w:sz w:val="24"/>
          <w:szCs w:val="24"/>
        </w:rPr>
        <w:t>1123床日，增幅2.83%; 出院人数5606例，较上年同期4985例增加621例，增幅12.46%；完成手术例数5253例，较上年同期3479例增加1774例，增幅50.99%,</w:t>
      </w:r>
      <w:proofErr w:type="gramStart"/>
      <w:r>
        <w:rPr>
          <w:rFonts w:ascii="宋体" w:hAnsi="Times New Roman" w:hint="eastAsia"/>
          <w:b w:val="0"/>
          <w:bCs w:val="0"/>
          <w:sz w:val="24"/>
          <w:szCs w:val="24"/>
        </w:rPr>
        <w:t>每手术</w:t>
      </w:r>
      <w:proofErr w:type="gramEnd"/>
      <w:r>
        <w:rPr>
          <w:rFonts w:ascii="宋体" w:hAnsi="Times New Roman" w:hint="eastAsia"/>
          <w:b w:val="0"/>
          <w:bCs w:val="0"/>
          <w:sz w:val="24"/>
          <w:szCs w:val="24"/>
        </w:rPr>
        <w:t>平均手术费223.16元，上年同期263.01元。</w:t>
      </w:r>
    </w:p>
    <w:p w:rsidR="002C02E6" w:rsidRDefault="00C917C2">
      <w:pPr>
        <w:pStyle w:val="ac"/>
        <w:spacing w:before="0" w:after="0"/>
        <w:ind w:firstLine="567"/>
        <w:jc w:val="both"/>
        <w:outlineLvl w:val="9"/>
      </w:pPr>
      <w:r>
        <w:rPr>
          <w:rFonts w:ascii="宋体" w:hAnsi="Times New Roman" w:hint="eastAsia"/>
          <w:b w:val="0"/>
          <w:bCs w:val="0"/>
          <w:sz w:val="24"/>
          <w:szCs w:val="24"/>
        </w:rPr>
        <w:t>2017年实现</w:t>
      </w:r>
      <w:r>
        <w:rPr>
          <w:rFonts w:ascii="宋体" w:hAnsi="Times New Roman"/>
          <w:b w:val="0"/>
          <w:bCs w:val="0"/>
          <w:sz w:val="24"/>
          <w:szCs w:val="24"/>
        </w:rPr>
        <w:t>平均住院日</w:t>
      </w:r>
      <w:r>
        <w:rPr>
          <w:rFonts w:ascii="宋体" w:hAnsi="Times New Roman" w:hint="eastAsia"/>
          <w:b w:val="0"/>
          <w:bCs w:val="0"/>
          <w:sz w:val="24"/>
          <w:szCs w:val="24"/>
        </w:rPr>
        <w:t>6.99</w:t>
      </w:r>
      <w:r>
        <w:rPr>
          <w:rFonts w:ascii="宋体" w:hAnsi="Times New Roman"/>
          <w:b w:val="0"/>
          <w:bCs w:val="0"/>
          <w:sz w:val="24"/>
          <w:szCs w:val="24"/>
        </w:rPr>
        <w:t>天，</w:t>
      </w:r>
      <w:r>
        <w:rPr>
          <w:rFonts w:ascii="宋体" w:hAnsi="Times New Roman" w:hint="eastAsia"/>
          <w:b w:val="0"/>
          <w:bCs w:val="0"/>
          <w:sz w:val="24"/>
          <w:szCs w:val="24"/>
        </w:rPr>
        <w:t>上年同期7.61天</w:t>
      </w:r>
      <w:r>
        <w:rPr>
          <w:rFonts w:ascii="宋体" w:hAnsi="Times New Roman"/>
          <w:b w:val="0"/>
          <w:bCs w:val="0"/>
          <w:sz w:val="24"/>
          <w:szCs w:val="24"/>
        </w:rPr>
        <w:t>，</w:t>
      </w:r>
      <w:r>
        <w:rPr>
          <w:rFonts w:ascii="宋体" w:hAnsi="Times New Roman" w:hint="eastAsia"/>
          <w:b w:val="0"/>
          <w:bCs w:val="0"/>
          <w:sz w:val="24"/>
          <w:szCs w:val="24"/>
        </w:rPr>
        <w:t>增幅-8.15%。</w:t>
      </w:r>
    </w:p>
    <w:p w:rsidR="002C02E6" w:rsidRDefault="00C917C2">
      <w:pPr>
        <w:ind w:left="420"/>
        <w:jc w:val="center"/>
        <w:rPr>
          <w:rFonts w:ascii="宋体"/>
          <w:b/>
          <w:szCs w:val="21"/>
        </w:rPr>
      </w:pPr>
      <w:r>
        <w:rPr>
          <w:rFonts w:ascii="宋体" w:hint="eastAsia"/>
          <w:b/>
          <w:szCs w:val="21"/>
        </w:rPr>
        <w:t>2017年住院工作量情况表</w:t>
      </w:r>
    </w:p>
    <w:p w:rsidR="002C02E6" w:rsidRDefault="00C917C2">
      <w:pPr>
        <w:ind w:left="420"/>
        <w:jc w:val="center"/>
      </w:pPr>
      <w:r>
        <w:rPr>
          <w:rFonts w:ascii="宋体" w:hint="eastAsia"/>
          <w:sz w:val="24"/>
        </w:rPr>
        <w:tab/>
      </w:r>
      <w:r>
        <w:rPr>
          <w:rFonts w:ascii="宋体" w:hint="eastAsia"/>
          <w:sz w:val="24"/>
        </w:rPr>
        <w:tab/>
      </w:r>
      <w:r>
        <w:rPr>
          <w:rFonts w:ascii="宋体" w:hint="eastAsia"/>
          <w:sz w:val="24"/>
        </w:rPr>
        <w:tab/>
      </w:r>
      <w:r>
        <w:rPr>
          <w:rFonts w:ascii="宋体" w:hint="eastAsia"/>
          <w:sz w:val="24"/>
        </w:rPr>
        <w:tab/>
      </w:r>
      <w:r>
        <w:rPr>
          <w:rFonts w:ascii="宋体" w:hint="eastAsia"/>
          <w:sz w:val="24"/>
        </w:rPr>
        <w:tab/>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6"/>
        <w:gridCol w:w="1843"/>
        <w:gridCol w:w="1701"/>
        <w:gridCol w:w="1701"/>
        <w:gridCol w:w="1529"/>
      </w:tblGrid>
      <w:tr w:rsidR="002C02E6">
        <w:trPr>
          <w:trHeight w:val="626"/>
          <w:jc w:val="center"/>
        </w:trPr>
        <w:tc>
          <w:tcPr>
            <w:tcW w:w="2636"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项目名称</w:t>
            </w:r>
          </w:p>
        </w:tc>
        <w:tc>
          <w:tcPr>
            <w:tcW w:w="1843"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2017年</w:t>
            </w:r>
          </w:p>
        </w:tc>
        <w:tc>
          <w:tcPr>
            <w:tcW w:w="1701"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上年同期</w:t>
            </w:r>
          </w:p>
        </w:tc>
        <w:tc>
          <w:tcPr>
            <w:tcW w:w="1701"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增长额</w:t>
            </w:r>
          </w:p>
        </w:tc>
        <w:tc>
          <w:tcPr>
            <w:tcW w:w="1529"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增长率(%)</w:t>
            </w:r>
          </w:p>
        </w:tc>
      </w:tr>
      <w:tr w:rsidR="002C02E6">
        <w:trPr>
          <w:jc w:val="center"/>
        </w:trPr>
        <w:tc>
          <w:tcPr>
            <w:tcW w:w="2636" w:type="dxa"/>
            <w:tcBorders>
              <w:top w:val="single" w:sz="4" w:space="0" w:color="auto"/>
              <w:left w:val="nil"/>
              <w:bottom w:val="nil"/>
              <w:right w:val="nil"/>
            </w:tcBorders>
          </w:tcPr>
          <w:p w:rsidR="002C02E6" w:rsidRDefault="00C917C2">
            <w:pPr>
              <w:rPr>
                <w:rFonts w:ascii="宋体" w:hAnsi="宋体"/>
                <w:spacing w:val="30"/>
                <w:sz w:val="18"/>
                <w:szCs w:val="18"/>
              </w:rPr>
            </w:pPr>
            <w:r>
              <w:rPr>
                <w:rFonts w:ascii="宋体" w:hAnsi="宋体" w:hint="eastAsia"/>
                <w:color w:val="000000"/>
                <w:spacing w:val="30"/>
                <w:sz w:val="18"/>
                <w:szCs w:val="18"/>
              </w:rPr>
              <w:t>住院实际占用(</w:t>
            </w:r>
            <w:proofErr w:type="gramStart"/>
            <w:r>
              <w:rPr>
                <w:rFonts w:ascii="宋体" w:hAnsi="宋体" w:hint="eastAsia"/>
                <w:color w:val="000000"/>
                <w:spacing w:val="30"/>
                <w:sz w:val="18"/>
                <w:szCs w:val="18"/>
              </w:rPr>
              <w:t>床日</w:t>
            </w:r>
            <w:proofErr w:type="gramEnd"/>
            <w:r>
              <w:rPr>
                <w:rFonts w:ascii="宋体" w:hAnsi="宋体" w:hint="eastAsia"/>
                <w:color w:val="000000"/>
                <w:spacing w:val="30"/>
                <w:sz w:val="18"/>
                <w:szCs w:val="18"/>
              </w:rPr>
              <w:t>)</w:t>
            </w:r>
          </w:p>
        </w:tc>
        <w:tc>
          <w:tcPr>
            <w:tcW w:w="1843" w:type="dxa"/>
            <w:tcBorders>
              <w:top w:val="single" w:sz="4" w:space="0" w:color="auto"/>
              <w:left w:val="nil"/>
              <w:bottom w:val="nil"/>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40781</w:t>
            </w:r>
          </w:p>
        </w:tc>
        <w:tc>
          <w:tcPr>
            <w:tcW w:w="1701" w:type="dxa"/>
            <w:tcBorders>
              <w:top w:val="single" w:sz="4" w:space="0" w:color="auto"/>
              <w:left w:val="nil"/>
              <w:bottom w:val="nil"/>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39658</w:t>
            </w:r>
          </w:p>
        </w:tc>
        <w:tc>
          <w:tcPr>
            <w:tcW w:w="1701" w:type="dxa"/>
            <w:tcBorders>
              <w:top w:val="single" w:sz="4" w:space="0" w:color="auto"/>
              <w:left w:val="nil"/>
              <w:bottom w:val="nil"/>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1123</w:t>
            </w:r>
          </w:p>
        </w:tc>
        <w:tc>
          <w:tcPr>
            <w:tcW w:w="1529" w:type="dxa"/>
            <w:tcBorders>
              <w:top w:val="single" w:sz="4" w:space="0" w:color="auto"/>
              <w:left w:val="nil"/>
              <w:bottom w:val="nil"/>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2.83%</w:t>
            </w:r>
          </w:p>
        </w:tc>
      </w:tr>
      <w:tr w:rsidR="002C02E6">
        <w:trPr>
          <w:jc w:val="center"/>
        </w:trPr>
        <w:tc>
          <w:tcPr>
            <w:tcW w:w="2636" w:type="dxa"/>
            <w:tcBorders>
              <w:top w:val="nil"/>
              <w:left w:val="nil"/>
              <w:bottom w:val="nil"/>
              <w:right w:val="nil"/>
            </w:tcBorders>
          </w:tcPr>
          <w:p w:rsidR="002C02E6" w:rsidRDefault="00C917C2">
            <w:pPr>
              <w:rPr>
                <w:rFonts w:ascii="宋体" w:hAnsi="宋体"/>
                <w:spacing w:val="30"/>
                <w:sz w:val="18"/>
                <w:szCs w:val="18"/>
              </w:rPr>
            </w:pPr>
            <w:r>
              <w:rPr>
                <w:rFonts w:ascii="宋体" w:hAnsi="宋体" w:hint="eastAsia"/>
                <w:spacing w:val="30"/>
                <w:sz w:val="18"/>
                <w:szCs w:val="18"/>
              </w:rPr>
              <w:t>出院人数(人)</w:t>
            </w:r>
          </w:p>
        </w:tc>
        <w:tc>
          <w:tcPr>
            <w:tcW w:w="1843"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5606</w:t>
            </w:r>
          </w:p>
        </w:tc>
        <w:tc>
          <w:tcPr>
            <w:tcW w:w="1701"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4985</w:t>
            </w:r>
          </w:p>
        </w:tc>
        <w:tc>
          <w:tcPr>
            <w:tcW w:w="1701"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621</w:t>
            </w:r>
          </w:p>
        </w:tc>
        <w:tc>
          <w:tcPr>
            <w:tcW w:w="1529"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12.46%</w:t>
            </w:r>
          </w:p>
        </w:tc>
      </w:tr>
      <w:tr w:rsidR="002C02E6">
        <w:trPr>
          <w:jc w:val="center"/>
        </w:trPr>
        <w:tc>
          <w:tcPr>
            <w:tcW w:w="2636" w:type="dxa"/>
            <w:tcBorders>
              <w:top w:val="nil"/>
              <w:left w:val="nil"/>
              <w:bottom w:val="nil"/>
              <w:right w:val="nil"/>
            </w:tcBorders>
          </w:tcPr>
          <w:p w:rsidR="002C02E6" w:rsidRDefault="00C917C2">
            <w:pPr>
              <w:rPr>
                <w:rFonts w:ascii="宋体" w:hAnsi="宋体"/>
                <w:spacing w:val="30"/>
                <w:sz w:val="18"/>
                <w:szCs w:val="18"/>
              </w:rPr>
            </w:pPr>
            <w:r>
              <w:rPr>
                <w:rFonts w:ascii="宋体" w:hAnsi="宋体" w:hint="eastAsia"/>
                <w:spacing w:val="30"/>
                <w:sz w:val="18"/>
                <w:szCs w:val="18"/>
              </w:rPr>
              <w:t>手术例数（例）</w:t>
            </w:r>
          </w:p>
        </w:tc>
        <w:tc>
          <w:tcPr>
            <w:tcW w:w="1843"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5253</w:t>
            </w:r>
          </w:p>
        </w:tc>
        <w:tc>
          <w:tcPr>
            <w:tcW w:w="1701"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3479</w:t>
            </w:r>
          </w:p>
        </w:tc>
        <w:tc>
          <w:tcPr>
            <w:tcW w:w="1701"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1774</w:t>
            </w:r>
          </w:p>
        </w:tc>
        <w:tc>
          <w:tcPr>
            <w:tcW w:w="1529" w:type="dxa"/>
            <w:tcBorders>
              <w:top w:val="nil"/>
              <w:left w:val="nil"/>
              <w:bottom w:val="nil"/>
              <w:right w:val="nil"/>
            </w:tcBorders>
          </w:tcPr>
          <w:p w:rsidR="002C02E6" w:rsidRDefault="00C917C2">
            <w:pPr>
              <w:jc w:val="center"/>
              <w:rPr>
                <w:rFonts w:ascii="宋体" w:hAnsi="宋体"/>
                <w:spacing w:val="30"/>
                <w:sz w:val="18"/>
                <w:szCs w:val="18"/>
              </w:rPr>
            </w:pPr>
            <w:r>
              <w:rPr>
                <w:rFonts w:ascii="宋体" w:hAnsi="宋体" w:hint="eastAsia"/>
                <w:spacing w:val="30"/>
                <w:sz w:val="18"/>
                <w:szCs w:val="18"/>
              </w:rPr>
              <w:t>50.99%</w:t>
            </w:r>
          </w:p>
        </w:tc>
      </w:tr>
      <w:tr w:rsidR="002C02E6">
        <w:trPr>
          <w:jc w:val="center"/>
        </w:trPr>
        <w:tc>
          <w:tcPr>
            <w:tcW w:w="2636" w:type="dxa"/>
            <w:tcBorders>
              <w:top w:val="nil"/>
              <w:left w:val="nil"/>
              <w:bottom w:val="single" w:sz="4" w:space="0" w:color="auto"/>
              <w:right w:val="nil"/>
            </w:tcBorders>
          </w:tcPr>
          <w:p w:rsidR="002C02E6" w:rsidRDefault="00C917C2">
            <w:pPr>
              <w:rPr>
                <w:rFonts w:ascii="宋体" w:hAnsi="宋体"/>
                <w:spacing w:val="30"/>
                <w:sz w:val="18"/>
                <w:szCs w:val="18"/>
              </w:rPr>
            </w:pPr>
            <w:r>
              <w:rPr>
                <w:rFonts w:hint="eastAsia"/>
                <w:spacing w:val="30"/>
                <w:sz w:val="18"/>
                <w:szCs w:val="18"/>
              </w:rPr>
              <w:t>平均住院日（天）</w:t>
            </w:r>
          </w:p>
        </w:tc>
        <w:tc>
          <w:tcPr>
            <w:tcW w:w="1843" w:type="dxa"/>
            <w:tcBorders>
              <w:top w:val="nil"/>
              <w:left w:val="nil"/>
              <w:bottom w:val="single" w:sz="4" w:space="0" w:color="auto"/>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6.99</w:t>
            </w:r>
          </w:p>
        </w:tc>
        <w:tc>
          <w:tcPr>
            <w:tcW w:w="1701" w:type="dxa"/>
            <w:tcBorders>
              <w:top w:val="nil"/>
              <w:left w:val="nil"/>
              <w:bottom w:val="single" w:sz="4" w:space="0" w:color="auto"/>
              <w:right w:val="nil"/>
            </w:tcBorders>
          </w:tcPr>
          <w:p w:rsidR="002C02E6" w:rsidRDefault="00C917C2">
            <w:pPr>
              <w:jc w:val="center"/>
              <w:rPr>
                <w:spacing w:val="30"/>
                <w:sz w:val="18"/>
                <w:szCs w:val="18"/>
              </w:rPr>
            </w:pPr>
            <w:r>
              <w:rPr>
                <w:rFonts w:ascii="宋体" w:hAnsi="宋体" w:hint="eastAsia"/>
                <w:color w:val="000000"/>
                <w:spacing w:val="30"/>
                <w:sz w:val="18"/>
                <w:szCs w:val="18"/>
              </w:rPr>
              <w:t>7.61</w:t>
            </w:r>
          </w:p>
        </w:tc>
        <w:tc>
          <w:tcPr>
            <w:tcW w:w="1701" w:type="dxa"/>
            <w:tcBorders>
              <w:top w:val="nil"/>
              <w:left w:val="nil"/>
              <w:bottom w:val="single" w:sz="4" w:space="0" w:color="auto"/>
              <w:right w:val="nil"/>
            </w:tcBorders>
          </w:tcPr>
          <w:p w:rsidR="002C02E6" w:rsidRDefault="00C917C2">
            <w:pPr>
              <w:jc w:val="center"/>
              <w:rPr>
                <w:spacing w:val="30"/>
                <w:sz w:val="18"/>
                <w:szCs w:val="18"/>
              </w:rPr>
            </w:pPr>
            <w:r>
              <w:rPr>
                <w:rFonts w:ascii="宋体" w:hAnsi="宋体" w:hint="eastAsia"/>
                <w:color w:val="000000"/>
                <w:spacing w:val="30"/>
                <w:sz w:val="18"/>
                <w:szCs w:val="18"/>
              </w:rPr>
              <w:t>-0.62</w:t>
            </w:r>
          </w:p>
        </w:tc>
        <w:tc>
          <w:tcPr>
            <w:tcW w:w="1529" w:type="dxa"/>
            <w:tcBorders>
              <w:top w:val="nil"/>
              <w:left w:val="nil"/>
              <w:bottom w:val="single" w:sz="4" w:space="0" w:color="auto"/>
              <w:right w:val="nil"/>
            </w:tcBorders>
          </w:tcPr>
          <w:p w:rsidR="002C02E6" w:rsidRDefault="00C917C2">
            <w:pPr>
              <w:jc w:val="center"/>
              <w:rPr>
                <w:rFonts w:ascii="宋体" w:hAnsi="宋体"/>
                <w:spacing w:val="30"/>
                <w:sz w:val="18"/>
                <w:szCs w:val="18"/>
              </w:rPr>
            </w:pPr>
            <w:r>
              <w:rPr>
                <w:rFonts w:ascii="宋体" w:hAnsi="宋体" w:hint="eastAsia"/>
                <w:color w:val="000000"/>
                <w:spacing w:val="30"/>
                <w:sz w:val="18"/>
                <w:szCs w:val="18"/>
              </w:rPr>
              <w:t>-8.15%</w:t>
            </w:r>
          </w:p>
        </w:tc>
      </w:tr>
    </w:tbl>
    <w:p w:rsidR="002C02E6" w:rsidRDefault="002C02E6"/>
    <w:p w:rsidR="002C02E6" w:rsidRDefault="00C917C2">
      <w:pPr>
        <w:pStyle w:val="ac"/>
        <w:spacing w:before="0" w:after="0"/>
        <w:ind w:firstLine="567"/>
        <w:outlineLvl w:val="9"/>
        <w:rPr>
          <w:rFonts w:ascii="宋体" w:hAnsi="Times New Roman"/>
          <w:b w:val="0"/>
          <w:bCs w:val="0"/>
          <w:sz w:val="24"/>
          <w:szCs w:val="24"/>
        </w:rPr>
      </w:pPr>
      <w:r>
        <w:rPr>
          <w:noProof/>
        </w:rPr>
        <w:t xml:space="preserve"> </w:t>
      </w:r>
      <w:r>
        <w:rPr>
          <w:noProof/>
        </w:rPr>
        <w:drawing>
          <wp:inline distT="0" distB="0" distL="0" distR="0">
            <wp:extent cx="4289425" cy="2668905"/>
            <wp:effectExtent l="0" t="0" r="0" b="0"/>
            <wp:docPr id="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pStyle w:val="ac"/>
        <w:spacing w:before="0" w:after="0"/>
        <w:ind w:firstLine="567"/>
        <w:outlineLvl w:val="9"/>
        <w:rPr>
          <w:rFonts w:ascii="宋体" w:hAnsi="Times New Roman"/>
          <w:b w:val="0"/>
          <w:bCs w:val="0"/>
          <w:sz w:val="24"/>
          <w:szCs w:val="24"/>
        </w:rPr>
      </w:pPr>
      <w:r>
        <w:rPr>
          <w:noProof/>
        </w:rPr>
        <w:lastRenderedPageBreak/>
        <w:t xml:space="preserve"> </w:t>
      </w:r>
      <w:r>
        <w:rPr>
          <w:noProof/>
        </w:rPr>
        <w:drawing>
          <wp:inline distT="0" distB="0" distL="0" distR="0">
            <wp:extent cx="4289425" cy="2668905"/>
            <wp:effectExtent l="0" t="0" r="0" b="0"/>
            <wp:docPr id="8"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pStyle w:val="ac"/>
        <w:spacing w:before="0" w:after="0"/>
        <w:ind w:firstLine="567"/>
        <w:outlineLvl w:val="9"/>
        <w:rPr>
          <w:rFonts w:ascii="宋体" w:hAnsi="Times New Roman"/>
          <w:b w:val="0"/>
          <w:bCs w:val="0"/>
          <w:sz w:val="24"/>
          <w:szCs w:val="24"/>
        </w:rPr>
      </w:pPr>
      <w:r>
        <w:rPr>
          <w:noProof/>
        </w:rPr>
        <w:t xml:space="preserve"> </w:t>
      </w:r>
      <w:r>
        <w:rPr>
          <w:noProof/>
        </w:rPr>
        <w:drawing>
          <wp:inline distT="0" distB="0" distL="0" distR="0">
            <wp:extent cx="4289425" cy="2668905"/>
            <wp:effectExtent l="0" t="0" r="0" b="0"/>
            <wp:docPr id="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rPr>
          <w:rFonts w:ascii="宋体"/>
          <w:sz w:val="24"/>
        </w:rPr>
      </w:pPr>
      <w:r>
        <w:rPr>
          <w:rFonts w:ascii="宋体" w:hint="eastAsia"/>
          <w:sz w:val="24"/>
        </w:rPr>
        <w:t>2.每床日费用</w:t>
      </w:r>
    </w:p>
    <w:p w:rsidR="002C02E6" w:rsidRDefault="00C917C2">
      <w:pPr>
        <w:pStyle w:val="ac"/>
        <w:spacing w:before="0" w:after="0"/>
        <w:ind w:firstLine="567"/>
        <w:jc w:val="both"/>
        <w:outlineLvl w:val="9"/>
        <w:rPr>
          <w:rFonts w:ascii="宋体" w:hAnsi="Times New Roman"/>
          <w:b w:val="0"/>
          <w:bCs w:val="0"/>
          <w:sz w:val="24"/>
          <w:szCs w:val="24"/>
        </w:rPr>
      </w:pPr>
      <w:r>
        <w:rPr>
          <w:rFonts w:ascii="宋体" w:hAnsi="Times New Roman" w:hint="eastAsia"/>
          <w:b w:val="0"/>
          <w:bCs w:val="0"/>
          <w:sz w:val="24"/>
          <w:szCs w:val="24"/>
        </w:rPr>
        <w:t>2017年每床</w:t>
      </w:r>
      <w:proofErr w:type="gramStart"/>
      <w:r>
        <w:rPr>
          <w:rFonts w:ascii="宋体" w:hAnsi="Times New Roman" w:hint="eastAsia"/>
          <w:b w:val="0"/>
          <w:bCs w:val="0"/>
          <w:sz w:val="24"/>
          <w:szCs w:val="24"/>
        </w:rPr>
        <w:t>日费用</w:t>
      </w:r>
      <w:proofErr w:type="gramEnd"/>
      <w:r>
        <w:rPr>
          <w:rFonts w:ascii="宋体" w:hAnsi="Times New Roman" w:hint="eastAsia"/>
          <w:b w:val="0"/>
          <w:bCs w:val="0"/>
          <w:sz w:val="24"/>
          <w:szCs w:val="24"/>
        </w:rPr>
        <w:t>1851.59元，较上年同期1911.78元增加-60.19元，同比增幅-3.15%。</w:t>
      </w:r>
    </w:p>
    <w:p w:rsidR="002C02E6" w:rsidRDefault="00C917C2">
      <w:pPr>
        <w:jc w:val="center"/>
        <w:rPr>
          <w:rFonts w:ascii="宋体"/>
          <w:b/>
          <w:szCs w:val="21"/>
        </w:rPr>
      </w:pPr>
      <w:r>
        <w:rPr>
          <w:rFonts w:ascii="宋体" w:hint="eastAsia"/>
          <w:b/>
          <w:szCs w:val="21"/>
        </w:rPr>
        <w:t>2017年每床</w:t>
      </w:r>
      <w:proofErr w:type="gramStart"/>
      <w:r>
        <w:rPr>
          <w:rFonts w:ascii="宋体" w:hint="eastAsia"/>
          <w:b/>
          <w:szCs w:val="21"/>
        </w:rPr>
        <w:t>日费用</w:t>
      </w:r>
      <w:proofErr w:type="gramEnd"/>
      <w:r>
        <w:rPr>
          <w:rFonts w:ascii="宋体" w:hint="eastAsia"/>
          <w:b/>
          <w:szCs w:val="21"/>
        </w:rPr>
        <w:t>情况表</w:t>
      </w:r>
    </w:p>
    <w:p w:rsidR="002C02E6" w:rsidRDefault="00C917C2">
      <w:pPr>
        <w:ind w:left="420" w:right="720"/>
        <w:jc w:val="right"/>
        <w:rPr>
          <w:rFonts w:ascii="宋体"/>
          <w:b/>
          <w:bCs/>
          <w:sz w:val="18"/>
          <w:szCs w:val="18"/>
        </w:rPr>
      </w:pPr>
      <w:r>
        <w:rPr>
          <w:rFonts w:ascii="宋体" w:hint="eastAsia"/>
          <w:sz w:val="18"/>
          <w:szCs w:val="18"/>
        </w:rPr>
        <w:t>单位：元</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2143.01</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2303.34</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-160.33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-6.96%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1468.65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1446.28</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22</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1.55%</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2018.08</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2020.96</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-2.88</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-0.14%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lastRenderedPageBreak/>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1851.59</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1911.78</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-60.19</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-3.15%</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4"/>
          <w:szCs w:val="24"/>
        </w:rPr>
      </w:pPr>
      <w:r>
        <w:rPr>
          <w:noProof/>
        </w:rPr>
        <w:t xml:space="preserve"> </w:t>
      </w:r>
      <w:r>
        <w:rPr>
          <w:noProof/>
        </w:rPr>
        <w:drawing>
          <wp:inline distT="0" distB="0" distL="0" distR="0">
            <wp:extent cx="4289425" cy="2668905"/>
            <wp:effectExtent l="0" t="0" r="0" b="0"/>
            <wp:docPr id="1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rPr>
          <w:rFonts w:ascii="宋体"/>
          <w:sz w:val="24"/>
        </w:rPr>
      </w:pPr>
      <w:r>
        <w:rPr>
          <w:rFonts w:ascii="宋体" w:hint="eastAsia"/>
          <w:sz w:val="24"/>
        </w:rPr>
        <w:t>3.每住院人次费用</w:t>
      </w:r>
    </w:p>
    <w:p w:rsidR="002C02E6" w:rsidRDefault="00C917C2">
      <w:pPr>
        <w:pStyle w:val="ac"/>
        <w:spacing w:before="0" w:after="0"/>
        <w:ind w:firstLine="567"/>
        <w:jc w:val="both"/>
        <w:outlineLvl w:val="9"/>
        <w:rPr>
          <w:rFonts w:ascii="宋体" w:hAnsi="Times New Roman"/>
          <w:b w:val="0"/>
          <w:bCs w:val="0"/>
          <w:sz w:val="24"/>
          <w:szCs w:val="24"/>
        </w:rPr>
      </w:pPr>
      <w:r>
        <w:rPr>
          <w:rFonts w:ascii="宋体" w:hAnsi="Times New Roman" w:hint="eastAsia"/>
          <w:b w:val="0"/>
          <w:bCs w:val="0"/>
          <w:sz w:val="24"/>
          <w:szCs w:val="24"/>
        </w:rPr>
        <w:t>2017年每住院人次费用13469.48元，较上年同期15209.09元增加-1739.61元，同比增幅-11.44%。</w:t>
      </w:r>
    </w:p>
    <w:p w:rsidR="002C02E6" w:rsidRDefault="002C02E6"/>
    <w:p w:rsidR="002C02E6" w:rsidRDefault="00C917C2">
      <w:pPr>
        <w:jc w:val="center"/>
        <w:rPr>
          <w:rFonts w:ascii="宋体"/>
          <w:b/>
          <w:szCs w:val="21"/>
        </w:rPr>
      </w:pPr>
      <w:r>
        <w:rPr>
          <w:rFonts w:ascii="宋体" w:hint="eastAsia"/>
          <w:b/>
          <w:szCs w:val="21"/>
        </w:rPr>
        <w:t>2017年每住院人次费用情况表</w:t>
      </w:r>
    </w:p>
    <w:p w:rsidR="002C02E6" w:rsidRDefault="00C917C2">
      <w:pPr>
        <w:ind w:left="420" w:right="720"/>
        <w:jc w:val="right"/>
        <w:rPr>
          <w:rFonts w:ascii="宋体"/>
          <w:sz w:val="18"/>
          <w:szCs w:val="18"/>
        </w:rPr>
      </w:pPr>
      <w:r>
        <w:rPr>
          <w:rFonts w:ascii="宋体" w:hint="eastAsia"/>
          <w:sz w:val="18"/>
          <w:szCs w:val="18"/>
        </w:rPr>
        <w:t>单位：元</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left"/>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16581.23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18245.73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-1664.50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-9.12%</w:t>
            </w:r>
          </w:p>
        </w:tc>
      </w:tr>
      <w:tr w:rsidR="002C02E6">
        <w:tc>
          <w:tcPr>
            <w:tcW w:w="2200" w:type="dxa"/>
            <w:shd w:val="clear" w:color="auto" w:fill="auto"/>
          </w:tcPr>
          <w:p w:rsidR="002C02E6" w:rsidRDefault="00C917C2">
            <w:pPr>
              <w:pStyle w:val="ac"/>
              <w:spacing w:before="0" w:after="0"/>
              <w:ind w:firstLine="0"/>
              <w:jc w:val="left"/>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11782.88</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13398.97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-1616.09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-12.06%</w:t>
            </w:r>
          </w:p>
        </w:tc>
      </w:tr>
      <w:tr w:rsidR="002C02E6">
        <w:tc>
          <w:tcPr>
            <w:tcW w:w="2200" w:type="dxa"/>
            <w:shd w:val="clear" w:color="auto" w:fill="auto"/>
          </w:tcPr>
          <w:p w:rsidR="002C02E6" w:rsidRDefault="00C917C2">
            <w:pPr>
              <w:pStyle w:val="ac"/>
              <w:spacing w:before="0" w:after="0"/>
              <w:ind w:firstLine="0"/>
              <w:jc w:val="left"/>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10473.65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12143.87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-1670.22</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-13.75%</w:t>
            </w:r>
          </w:p>
        </w:tc>
      </w:tr>
      <w:tr w:rsidR="002C02E6">
        <w:tc>
          <w:tcPr>
            <w:tcW w:w="2200" w:type="dxa"/>
            <w:shd w:val="clear" w:color="auto" w:fill="auto"/>
          </w:tcPr>
          <w:p w:rsidR="002C02E6" w:rsidRDefault="00C917C2">
            <w:pPr>
              <w:pStyle w:val="ac"/>
              <w:spacing w:before="0" w:after="0"/>
              <w:ind w:firstLine="0"/>
              <w:jc w:val="left"/>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left"/>
              <w:outlineLvl w:val="9"/>
              <w:rPr>
                <w:rFonts w:ascii="宋体" w:hAnsi="Times New Roman"/>
                <w:b w:val="0"/>
                <w:bCs w:val="0"/>
                <w:sz w:val="18"/>
                <w:szCs w:val="18"/>
              </w:rPr>
            </w:pPr>
            <w:r>
              <w:rPr>
                <w:rFonts w:ascii="宋体" w:hAnsi="Times New Roman" w:hint="eastAsia"/>
                <w:b w:val="0"/>
                <w:bCs w:val="0"/>
                <w:sz w:val="18"/>
                <w:szCs w:val="18"/>
              </w:rPr>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13469.48</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15209.09</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-1739.61</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-11.44%</w:t>
            </w:r>
          </w:p>
        </w:tc>
      </w:tr>
    </w:tbl>
    <w:p w:rsidR="002C02E6" w:rsidRDefault="002C02E6">
      <w:pPr>
        <w:pStyle w:val="ac"/>
        <w:spacing w:before="0" w:after="0"/>
        <w:ind w:firstLine="567"/>
        <w:jc w:val="left"/>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18"/>
          <w:szCs w:val="18"/>
        </w:rPr>
      </w:pPr>
      <w:r>
        <w:rPr>
          <w:noProof/>
        </w:rPr>
        <w:lastRenderedPageBreak/>
        <w:t xml:space="preserve"> </w:t>
      </w:r>
      <w:r>
        <w:rPr>
          <w:noProof/>
        </w:rPr>
        <w:drawing>
          <wp:inline distT="0" distB="0" distL="0" distR="0">
            <wp:extent cx="4289425" cy="2668905"/>
            <wp:effectExtent l="0" t="0" r="0" b="0"/>
            <wp:docPr id="1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pStyle w:val="3"/>
        <w:ind w:firstLine="482"/>
        <w:rPr>
          <w:rFonts w:ascii="宋体"/>
          <w:sz w:val="24"/>
        </w:rPr>
      </w:pPr>
      <w:bookmarkStart w:id="98" w:name="_Toc500143186"/>
      <w:bookmarkStart w:id="99" w:name="_Toc517177993"/>
      <w:r>
        <w:rPr>
          <w:rFonts w:ascii="宋体" w:hint="eastAsia"/>
          <w:sz w:val="24"/>
        </w:rPr>
        <w:t>二、经济运行状况</w:t>
      </w:r>
      <w:bookmarkEnd w:id="98"/>
      <w:bookmarkEnd w:id="99"/>
    </w:p>
    <w:p w:rsidR="002C02E6" w:rsidRDefault="00C917C2">
      <w:pPr>
        <w:pStyle w:val="4"/>
        <w:ind w:firstLine="482"/>
        <w:rPr>
          <w:rFonts w:ascii="宋体"/>
          <w:b/>
          <w:sz w:val="24"/>
        </w:rPr>
      </w:pPr>
      <w:bookmarkStart w:id="100" w:name="_Toc500143187"/>
      <w:r>
        <w:rPr>
          <w:rFonts w:ascii="宋体" w:hint="eastAsia"/>
          <w:b/>
          <w:sz w:val="24"/>
        </w:rPr>
        <w:t>(</w:t>
      </w:r>
      <w:proofErr w:type="gramStart"/>
      <w:r>
        <w:rPr>
          <w:rFonts w:ascii="宋体" w:hint="eastAsia"/>
          <w:b/>
          <w:sz w:val="24"/>
        </w:rPr>
        <w:t>一</w:t>
      </w:r>
      <w:proofErr w:type="gramEnd"/>
      <w:r>
        <w:rPr>
          <w:rFonts w:ascii="宋体" w:hint="eastAsia"/>
          <w:b/>
          <w:sz w:val="24"/>
        </w:rPr>
        <w:t>) 收入</w:t>
      </w:r>
      <w:bookmarkEnd w:id="100"/>
    </w:p>
    <w:p w:rsidR="002C02E6" w:rsidRDefault="00C917C2">
      <w:pPr>
        <w:pStyle w:val="a4"/>
        <w:numPr>
          <w:ilvl w:val="2"/>
          <w:numId w:val="20"/>
        </w:numPr>
        <w:spacing w:beforeLines="50" w:before="156" w:afterLines="50" w:after="156"/>
        <w:ind w:left="811" w:firstLineChars="0" w:hanging="357"/>
        <w:rPr>
          <w:rFonts w:ascii="宋体"/>
          <w:sz w:val="24"/>
        </w:rPr>
      </w:pPr>
      <w:r>
        <w:rPr>
          <w:rFonts w:ascii="宋体" w:hint="eastAsia"/>
          <w:sz w:val="24"/>
        </w:rPr>
        <w:t>总收入</w:t>
      </w:r>
    </w:p>
    <w:p w:rsidR="002C02E6" w:rsidRDefault="00C917C2">
      <w:pPr>
        <w:spacing w:afterLines="50" w:after="156" w:line="360" w:lineRule="auto"/>
        <w:ind w:firstLine="420"/>
        <w:rPr>
          <w:rFonts w:ascii="宋体"/>
          <w:sz w:val="24"/>
        </w:rPr>
      </w:pPr>
      <w:r>
        <w:rPr>
          <w:rFonts w:ascii="宋体" w:hint="eastAsia"/>
          <w:sz w:val="24"/>
        </w:rPr>
        <w:t>2017年医疗收入7284.64万元，较上年同期增加691.96万元，增幅10.50%。总收入(含药品、检查、化验)16746.44万元，较上年同期增加-17.40万元，增幅-0.10%。</w:t>
      </w:r>
    </w:p>
    <w:p w:rsidR="002C02E6" w:rsidRDefault="00C917C2">
      <w:pPr>
        <w:spacing w:afterLines="50" w:after="156" w:line="360" w:lineRule="auto"/>
        <w:ind w:firstLine="420"/>
        <w:jc w:val="center"/>
        <w:rPr>
          <w:rFonts w:ascii="宋体"/>
          <w:b/>
          <w:szCs w:val="21"/>
        </w:rPr>
      </w:pPr>
      <w:r>
        <w:rPr>
          <w:rFonts w:ascii="宋体" w:hint="eastAsia"/>
          <w:b/>
          <w:szCs w:val="21"/>
        </w:rPr>
        <w:t>2017年科室收入表</w:t>
      </w:r>
    </w:p>
    <w:p w:rsidR="002C02E6" w:rsidRDefault="00C917C2">
      <w:pPr>
        <w:ind w:left="420" w:right="720"/>
        <w:jc w:val="right"/>
        <w:rPr>
          <w:rFonts w:ascii="宋体"/>
          <w:sz w:val="18"/>
          <w:szCs w:val="18"/>
        </w:rPr>
      </w:pPr>
      <w:r>
        <w:rPr>
          <w:rFonts w:ascii="宋体" w:hint="eastAsia"/>
          <w:sz w:val="18"/>
          <w:szCs w:val="18"/>
        </w:rPr>
        <w:t>单位：万元</w:t>
      </w:r>
    </w:p>
    <w:tbl>
      <w:tblPr>
        <w:tblW w:w="9410" w:type="dxa"/>
        <w:jc w:val="center"/>
        <w:tblLayout w:type="fixed"/>
        <w:tblLook w:val="0000" w:firstRow="0" w:lastRow="0" w:firstColumn="0" w:lastColumn="0" w:noHBand="0" w:noVBand="0"/>
      </w:tblPr>
      <w:tblGrid>
        <w:gridCol w:w="2636"/>
        <w:gridCol w:w="1843"/>
        <w:gridCol w:w="1701"/>
        <w:gridCol w:w="1701"/>
        <w:gridCol w:w="1529"/>
      </w:tblGrid>
      <w:tr w:rsidR="002C02E6">
        <w:trPr>
          <w:trHeight w:val="626"/>
          <w:jc w:val="center"/>
        </w:trPr>
        <w:tc>
          <w:tcPr>
            <w:tcW w:w="2636" w:type="dxa"/>
            <w:tcBorders>
              <w:top w:val="single" w:sz="4" w:space="0" w:color="auto"/>
              <w:bottom w:val="single" w:sz="4" w:space="0" w:color="auto"/>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项目名称</w:t>
            </w:r>
          </w:p>
        </w:tc>
        <w:tc>
          <w:tcPr>
            <w:tcW w:w="1843" w:type="dxa"/>
            <w:tcBorders>
              <w:top w:val="single" w:sz="4" w:space="0" w:color="auto"/>
              <w:bottom w:val="single" w:sz="4" w:space="0" w:color="auto"/>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本期</w:t>
            </w:r>
          </w:p>
        </w:tc>
        <w:tc>
          <w:tcPr>
            <w:tcW w:w="1701" w:type="dxa"/>
            <w:tcBorders>
              <w:top w:val="single" w:sz="4" w:space="0" w:color="auto"/>
              <w:bottom w:val="single" w:sz="4" w:space="0" w:color="auto"/>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上年同期</w:t>
            </w:r>
          </w:p>
        </w:tc>
        <w:tc>
          <w:tcPr>
            <w:tcW w:w="1701" w:type="dxa"/>
            <w:tcBorders>
              <w:top w:val="single" w:sz="4" w:space="0" w:color="auto"/>
              <w:bottom w:val="single" w:sz="4" w:space="0" w:color="auto"/>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增长额</w:t>
            </w:r>
          </w:p>
        </w:tc>
        <w:tc>
          <w:tcPr>
            <w:tcW w:w="1529" w:type="dxa"/>
            <w:tcBorders>
              <w:top w:val="single" w:sz="4" w:space="0" w:color="auto"/>
              <w:bottom w:val="single" w:sz="4" w:space="0" w:color="auto"/>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增长率(%)</w:t>
            </w:r>
          </w:p>
        </w:tc>
      </w:tr>
      <w:tr w:rsidR="002C02E6">
        <w:trPr>
          <w:jc w:val="center"/>
        </w:trPr>
        <w:tc>
          <w:tcPr>
            <w:tcW w:w="2636" w:type="dxa"/>
            <w:tcBorders>
              <w:top w:val="single" w:sz="4" w:space="0" w:color="auto"/>
            </w:tcBorders>
          </w:tcPr>
          <w:p w:rsidR="002C02E6" w:rsidRDefault="00C917C2">
            <w:pPr>
              <w:rPr>
                <w:rFonts w:ascii="宋体" w:hAnsi="宋体"/>
                <w:spacing w:val="30"/>
                <w:sz w:val="18"/>
                <w:szCs w:val="18"/>
              </w:rPr>
            </w:pPr>
            <w:r>
              <w:rPr>
                <w:rFonts w:ascii="宋体" w:hAnsi="宋体" w:hint="eastAsia"/>
                <w:color w:val="000000"/>
                <w:spacing w:val="30"/>
                <w:sz w:val="18"/>
                <w:szCs w:val="18"/>
              </w:rPr>
              <w:t>医疗收入</w:t>
            </w:r>
          </w:p>
        </w:tc>
        <w:tc>
          <w:tcPr>
            <w:tcW w:w="1843"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7284.64</w:t>
            </w:r>
          </w:p>
        </w:tc>
        <w:tc>
          <w:tcPr>
            <w:tcW w:w="1701"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6592.68</w:t>
            </w:r>
          </w:p>
        </w:tc>
        <w:tc>
          <w:tcPr>
            <w:tcW w:w="1701"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691.96</w:t>
            </w:r>
          </w:p>
        </w:tc>
        <w:tc>
          <w:tcPr>
            <w:tcW w:w="1529"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10.50%</w:t>
            </w:r>
          </w:p>
        </w:tc>
      </w:tr>
      <w:tr w:rsidR="002C02E6">
        <w:trPr>
          <w:jc w:val="center"/>
        </w:trPr>
        <w:tc>
          <w:tcPr>
            <w:tcW w:w="2636" w:type="dxa"/>
          </w:tcPr>
          <w:p w:rsidR="002C02E6" w:rsidRDefault="00C917C2">
            <w:pPr>
              <w:rPr>
                <w:rFonts w:ascii="宋体" w:hAnsi="宋体"/>
                <w:spacing w:val="30"/>
                <w:sz w:val="18"/>
                <w:szCs w:val="18"/>
              </w:rPr>
            </w:pPr>
            <w:r>
              <w:rPr>
                <w:rFonts w:ascii="宋体" w:hAnsi="宋体" w:hint="eastAsia"/>
                <w:spacing w:val="30"/>
                <w:sz w:val="18"/>
                <w:szCs w:val="18"/>
              </w:rPr>
              <w:t>总收入(含药品、检查、化验等收入)</w:t>
            </w:r>
          </w:p>
        </w:tc>
        <w:tc>
          <w:tcPr>
            <w:tcW w:w="1843"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16746.44</w:t>
            </w:r>
          </w:p>
        </w:tc>
        <w:tc>
          <w:tcPr>
            <w:tcW w:w="1701"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16763.84</w:t>
            </w:r>
          </w:p>
        </w:tc>
        <w:tc>
          <w:tcPr>
            <w:tcW w:w="1701"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-17.40</w:t>
            </w:r>
          </w:p>
        </w:tc>
        <w:tc>
          <w:tcPr>
            <w:tcW w:w="1529"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-0.10%</w:t>
            </w:r>
          </w:p>
        </w:tc>
      </w:tr>
      <w:tr w:rsidR="002C02E6">
        <w:trPr>
          <w:jc w:val="center"/>
        </w:trPr>
        <w:tc>
          <w:tcPr>
            <w:tcW w:w="2636" w:type="dxa"/>
          </w:tcPr>
          <w:p w:rsidR="002C02E6" w:rsidRDefault="00C917C2">
            <w:pPr>
              <w:ind w:firstLineChars="200" w:firstLine="480"/>
              <w:rPr>
                <w:rFonts w:ascii="宋体" w:hAnsi="宋体"/>
                <w:spacing w:val="30"/>
                <w:sz w:val="18"/>
                <w:szCs w:val="18"/>
              </w:rPr>
            </w:pPr>
            <w:r>
              <w:rPr>
                <w:rFonts w:ascii="宋体" w:hAnsi="宋体" w:hint="eastAsia"/>
                <w:spacing w:val="30"/>
                <w:sz w:val="18"/>
                <w:szCs w:val="18"/>
              </w:rPr>
              <w:t>其中：药占比</w:t>
            </w:r>
          </w:p>
        </w:tc>
        <w:tc>
          <w:tcPr>
            <w:tcW w:w="1843"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33.6%</w:t>
            </w:r>
          </w:p>
        </w:tc>
        <w:tc>
          <w:tcPr>
            <w:tcW w:w="1701"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36.1%</w:t>
            </w:r>
          </w:p>
        </w:tc>
        <w:tc>
          <w:tcPr>
            <w:tcW w:w="1701"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-2.50%</w:t>
            </w:r>
          </w:p>
        </w:tc>
        <w:tc>
          <w:tcPr>
            <w:tcW w:w="1529"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-6.93%</w:t>
            </w:r>
          </w:p>
        </w:tc>
      </w:tr>
      <w:tr w:rsidR="002C02E6">
        <w:trPr>
          <w:jc w:val="center"/>
        </w:trPr>
        <w:tc>
          <w:tcPr>
            <w:tcW w:w="2636" w:type="dxa"/>
            <w:tcBorders>
              <w:bottom w:val="single" w:sz="4" w:space="0" w:color="auto"/>
            </w:tcBorders>
          </w:tcPr>
          <w:p w:rsidR="002C02E6" w:rsidRDefault="00C917C2">
            <w:pPr>
              <w:rPr>
                <w:rFonts w:ascii="宋体" w:hAnsi="宋体"/>
                <w:spacing w:val="30"/>
                <w:sz w:val="18"/>
                <w:szCs w:val="18"/>
              </w:rPr>
            </w:pPr>
            <w:r>
              <w:rPr>
                <w:rFonts w:ascii="宋体" w:hAnsi="宋体" w:hint="eastAsia"/>
                <w:spacing w:val="30"/>
                <w:sz w:val="18"/>
                <w:szCs w:val="18"/>
              </w:rPr>
              <w:t xml:space="preserve">   卫生材料收入占比</w:t>
            </w:r>
          </w:p>
        </w:tc>
        <w:tc>
          <w:tcPr>
            <w:tcW w:w="1843" w:type="dxa"/>
            <w:tcBorders>
              <w:bottom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13.2%</w:t>
            </w:r>
          </w:p>
        </w:tc>
        <w:tc>
          <w:tcPr>
            <w:tcW w:w="1701" w:type="dxa"/>
            <w:tcBorders>
              <w:bottom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13.6%</w:t>
            </w:r>
          </w:p>
        </w:tc>
        <w:tc>
          <w:tcPr>
            <w:tcW w:w="1701" w:type="dxa"/>
            <w:tcBorders>
              <w:bottom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-0.40%</w:t>
            </w:r>
          </w:p>
        </w:tc>
        <w:tc>
          <w:tcPr>
            <w:tcW w:w="1529" w:type="dxa"/>
            <w:tcBorders>
              <w:bottom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-2.94%</w:t>
            </w:r>
          </w:p>
        </w:tc>
      </w:tr>
    </w:tbl>
    <w:p w:rsidR="002C02E6" w:rsidRDefault="002C02E6">
      <w:pPr>
        <w:jc w:val="center"/>
        <w:rPr>
          <w:rFonts w:ascii="宋体"/>
          <w:sz w:val="24"/>
        </w:rPr>
      </w:pPr>
    </w:p>
    <w:p w:rsidR="002C02E6" w:rsidRDefault="00C917C2">
      <w:pPr>
        <w:jc w:val="center"/>
        <w:rPr>
          <w:rFonts w:ascii="宋体"/>
          <w:sz w:val="24"/>
        </w:rPr>
      </w:pPr>
      <w:r>
        <w:rPr>
          <w:rFonts w:ascii="宋体" w:hint="eastAsia"/>
          <w:sz w:val="24"/>
        </w:rPr>
        <w:t xml:space="preserve"> </w:t>
      </w:r>
      <w:r>
        <w:rPr>
          <w:rFonts w:ascii="宋体" w:hint="eastAsia"/>
          <w:b/>
          <w:szCs w:val="21"/>
        </w:rPr>
        <w:t>2017年科室医疗收入及构成</w:t>
      </w:r>
      <w:r>
        <w:rPr>
          <w:rFonts w:ascii="宋体"/>
          <w:b/>
          <w:szCs w:val="21"/>
        </w:rPr>
        <w:t>表</w:t>
      </w:r>
    </w:p>
    <w:p w:rsidR="002C02E6" w:rsidRDefault="00C917C2">
      <w:pPr>
        <w:ind w:left="420" w:right="720"/>
        <w:jc w:val="right"/>
        <w:rPr>
          <w:rFonts w:ascii="宋体"/>
          <w:sz w:val="18"/>
          <w:szCs w:val="18"/>
        </w:rPr>
      </w:pPr>
      <w:r>
        <w:rPr>
          <w:rFonts w:ascii="宋体" w:hint="eastAsia"/>
          <w:sz w:val="18"/>
          <w:szCs w:val="18"/>
        </w:rPr>
        <w:t>单位：万元</w:t>
      </w:r>
    </w:p>
    <w:tbl>
      <w:tblPr>
        <w:tblpPr w:leftFromText="180" w:rightFromText="180" w:vertAnchor="text" w:horzAnchor="page" w:tblpX="1626" w:tblpY="26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1418"/>
        <w:gridCol w:w="1276"/>
        <w:gridCol w:w="1417"/>
        <w:gridCol w:w="1559"/>
      </w:tblGrid>
      <w:tr w:rsidR="002C02E6">
        <w:trPr>
          <w:trHeight w:val="485"/>
        </w:trPr>
        <w:tc>
          <w:tcPr>
            <w:tcW w:w="1951" w:type="dxa"/>
            <w:vMerge w:val="restart"/>
            <w:tcBorders>
              <w:top w:val="single" w:sz="4" w:space="0" w:color="auto"/>
              <w:left w:val="nil"/>
              <w:bottom w:val="nil"/>
              <w:right w:val="nil"/>
            </w:tcBorders>
            <w:vAlign w:val="center"/>
          </w:tcPr>
          <w:p w:rsidR="002C02E6" w:rsidRDefault="00C917C2">
            <w:pPr>
              <w:spacing w:afterLines="50" w:after="156"/>
              <w:jc w:val="center"/>
              <w:rPr>
                <w:spacing w:val="30"/>
                <w:sz w:val="18"/>
                <w:szCs w:val="18"/>
              </w:rPr>
            </w:pPr>
            <w:bookmarkStart w:id="101" w:name="_Toc491609203"/>
            <w:r>
              <w:rPr>
                <w:rFonts w:hint="eastAsia"/>
                <w:spacing w:val="30"/>
                <w:sz w:val="18"/>
                <w:szCs w:val="18"/>
              </w:rPr>
              <w:t>项目名称</w:t>
            </w:r>
            <w:bookmarkEnd w:id="101"/>
          </w:p>
        </w:tc>
        <w:tc>
          <w:tcPr>
            <w:tcW w:w="1559" w:type="dxa"/>
            <w:vMerge w:val="restart"/>
            <w:tcBorders>
              <w:top w:val="single" w:sz="4" w:space="0" w:color="auto"/>
              <w:left w:val="nil"/>
              <w:bottom w:val="nil"/>
              <w:right w:val="nil"/>
            </w:tcBorders>
            <w:vAlign w:val="center"/>
          </w:tcPr>
          <w:p w:rsidR="002C02E6" w:rsidRDefault="00C917C2">
            <w:pPr>
              <w:spacing w:afterLines="50" w:after="156"/>
              <w:jc w:val="center"/>
              <w:rPr>
                <w:spacing w:val="30"/>
                <w:sz w:val="18"/>
                <w:szCs w:val="18"/>
              </w:rPr>
            </w:pPr>
            <w:r>
              <w:rPr>
                <w:spacing w:val="30"/>
                <w:sz w:val="18"/>
                <w:szCs w:val="18"/>
              </w:rPr>
              <w:t>2017</w:t>
            </w:r>
            <w:r>
              <w:rPr>
                <w:spacing w:val="30"/>
                <w:sz w:val="18"/>
                <w:szCs w:val="18"/>
              </w:rPr>
              <w:t>年</w:t>
            </w:r>
          </w:p>
        </w:tc>
        <w:tc>
          <w:tcPr>
            <w:tcW w:w="1418" w:type="dxa"/>
            <w:vMerge w:val="restart"/>
            <w:tcBorders>
              <w:top w:val="single" w:sz="4" w:space="0" w:color="auto"/>
              <w:left w:val="nil"/>
              <w:bottom w:val="nil"/>
              <w:right w:val="nil"/>
            </w:tcBorders>
            <w:vAlign w:val="center"/>
          </w:tcPr>
          <w:p w:rsidR="002C02E6" w:rsidRDefault="00C917C2">
            <w:pPr>
              <w:spacing w:afterLines="50" w:after="156"/>
              <w:jc w:val="center"/>
              <w:rPr>
                <w:spacing w:val="30"/>
                <w:sz w:val="18"/>
                <w:szCs w:val="18"/>
              </w:rPr>
            </w:pPr>
            <w:bookmarkStart w:id="102" w:name="_Toc491609206"/>
            <w:r>
              <w:rPr>
                <w:rFonts w:hint="eastAsia"/>
                <w:spacing w:val="30"/>
                <w:sz w:val="18"/>
                <w:szCs w:val="18"/>
              </w:rPr>
              <w:t>增长额</w:t>
            </w:r>
            <w:bookmarkEnd w:id="102"/>
          </w:p>
        </w:tc>
        <w:tc>
          <w:tcPr>
            <w:tcW w:w="1276" w:type="dxa"/>
            <w:vMerge w:val="restart"/>
            <w:tcBorders>
              <w:top w:val="single" w:sz="4" w:space="0" w:color="auto"/>
              <w:left w:val="nil"/>
              <w:bottom w:val="nil"/>
              <w:right w:val="nil"/>
            </w:tcBorders>
            <w:vAlign w:val="center"/>
          </w:tcPr>
          <w:p w:rsidR="002C02E6" w:rsidRDefault="00C917C2">
            <w:pPr>
              <w:spacing w:afterLines="50" w:after="156"/>
              <w:jc w:val="center"/>
              <w:rPr>
                <w:spacing w:val="30"/>
                <w:sz w:val="18"/>
                <w:szCs w:val="18"/>
              </w:rPr>
            </w:pPr>
            <w:bookmarkStart w:id="103" w:name="_Toc491609207"/>
            <w:r>
              <w:rPr>
                <w:rFonts w:hint="eastAsia"/>
                <w:spacing w:val="30"/>
                <w:sz w:val="18"/>
                <w:szCs w:val="18"/>
              </w:rPr>
              <w:t>增幅</w:t>
            </w:r>
            <w:r>
              <w:rPr>
                <w:spacing w:val="30"/>
                <w:sz w:val="18"/>
                <w:szCs w:val="18"/>
              </w:rPr>
              <w:t>(%)</w:t>
            </w:r>
            <w:bookmarkEnd w:id="103"/>
          </w:p>
        </w:tc>
        <w:tc>
          <w:tcPr>
            <w:tcW w:w="2976" w:type="dxa"/>
            <w:gridSpan w:val="2"/>
            <w:tcBorders>
              <w:top w:val="single" w:sz="4" w:space="0" w:color="auto"/>
              <w:left w:val="nil"/>
              <w:bottom w:val="single" w:sz="4" w:space="0" w:color="auto"/>
              <w:right w:val="nil"/>
            </w:tcBorders>
            <w:vAlign w:val="center"/>
          </w:tcPr>
          <w:p w:rsidR="002C02E6" w:rsidRDefault="00C917C2">
            <w:pPr>
              <w:spacing w:afterLines="50" w:after="156"/>
              <w:jc w:val="center"/>
              <w:rPr>
                <w:spacing w:val="30"/>
                <w:sz w:val="18"/>
                <w:szCs w:val="18"/>
              </w:rPr>
            </w:pPr>
            <w:bookmarkStart w:id="104" w:name="_Toc491609208"/>
            <w:r>
              <w:rPr>
                <w:rFonts w:hint="eastAsia"/>
                <w:spacing w:val="30"/>
                <w:sz w:val="18"/>
                <w:szCs w:val="18"/>
              </w:rPr>
              <w:t>占比</w:t>
            </w:r>
            <w:bookmarkEnd w:id="104"/>
          </w:p>
        </w:tc>
      </w:tr>
      <w:tr w:rsidR="002C02E6">
        <w:trPr>
          <w:trHeight w:val="435"/>
        </w:trPr>
        <w:tc>
          <w:tcPr>
            <w:tcW w:w="1951" w:type="dxa"/>
            <w:vMerge/>
            <w:tcBorders>
              <w:top w:val="nil"/>
              <w:left w:val="nil"/>
              <w:bottom w:val="single" w:sz="4" w:space="0" w:color="auto"/>
              <w:right w:val="nil"/>
            </w:tcBorders>
            <w:vAlign w:val="center"/>
          </w:tcPr>
          <w:p w:rsidR="002C02E6" w:rsidRDefault="002C02E6">
            <w:pPr>
              <w:spacing w:afterLines="50" w:after="156"/>
              <w:rPr>
                <w:spacing w:val="30"/>
                <w:sz w:val="18"/>
                <w:szCs w:val="18"/>
              </w:rPr>
            </w:pPr>
          </w:p>
        </w:tc>
        <w:tc>
          <w:tcPr>
            <w:tcW w:w="1559" w:type="dxa"/>
            <w:vMerge/>
            <w:tcBorders>
              <w:top w:val="nil"/>
              <w:left w:val="nil"/>
              <w:bottom w:val="single" w:sz="4" w:space="0" w:color="auto"/>
              <w:right w:val="nil"/>
            </w:tcBorders>
            <w:vAlign w:val="center"/>
          </w:tcPr>
          <w:p w:rsidR="002C02E6" w:rsidRDefault="002C02E6">
            <w:pPr>
              <w:spacing w:afterLines="50" w:after="156"/>
              <w:jc w:val="center"/>
              <w:rPr>
                <w:spacing w:val="30"/>
                <w:sz w:val="18"/>
                <w:szCs w:val="18"/>
              </w:rPr>
            </w:pPr>
          </w:p>
        </w:tc>
        <w:tc>
          <w:tcPr>
            <w:tcW w:w="1418" w:type="dxa"/>
            <w:vMerge/>
            <w:tcBorders>
              <w:top w:val="nil"/>
              <w:left w:val="nil"/>
              <w:bottom w:val="single" w:sz="4" w:space="0" w:color="auto"/>
              <w:right w:val="nil"/>
            </w:tcBorders>
            <w:vAlign w:val="center"/>
          </w:tcPr>
          <w:p w:rsidR="002C02E6" w:rsidRDefault="002C02E6">
            <w:pPr>
              <w:spacing w:afterLines="50" w:after="156"/>
              <w:jc w:val="center"/>
              <w:rPr>
                <w:spacing w:val="30"/>
                <w:sz w:val="18"/>
                <w:szCs w:val="18"/>
              </w:rPr>
            </w:pPr>
          </w:p>
        </w:tc>
        <w:tc>
          <w:tcPr>
            <w:tcW w:w="1276" w:type="dxa"/>
            <w:vMerge/>
            <w:tcBorders>
              <w:top w:val="nil"/>
              <w:left w:val="nil"/>
              <w:bottom w:val="single" w:sz="4" w:space="0" w:color="auto"/>
              <w:right w:val="nil"/>
            </w:tcBorders>
            <w:vAlign w:val="center"/>
          </w:tcPr>
          <w:p w:rsidR="002C02E6" w:rsidRDefault="002C02E6">
            <w:pPr>
              <w:spacing w:afterLines="50" w:after="156"/>
              <w:jc w:val="center"/>
              <w:rPr>
                <w:spacing w:val="30"/>
                <w:sz w:val="18"/>
                <w:szCs w:val="18"/>
              </w:rPr>
            </w:pPr>
          </w:p>
        </w:tc>
        <w:tc>
          <w:tcPr>
            <w:tcW w:w="1417" w:type="dxa"/>
            <w:tcBorders>
              <w:top w:val="single" w:sz="4" w:space="0" w:color="auto"/>
              <w:left w:val="nil"/>
              <w:bottom w:val="single" w:sz="4" w:space="0" w:color="auto"/>
              <w:right w:val="nil"/>
            </w:tcBorders>
            <w:vAlign w:val="center"/>
          </w:tcPr>
          <w:p w:rsidR="002C02E6" w:rsidRDefault="00C917C2">
            <w:pPr>
              <w:spacing w:afterLines="50" w:after="156"/>
              <w:jc w:val="center"/>
              <w:rPr>
                <w:spacing w:val="30"/>
                <w:sz w:val="18"/>
                <w:szCs w:val="18"/>
              </w:rPr>
            </w:pPr>
            <w:r>
              <w:rPr>
                <w:rFonts w:hint="eastAsia"/>
                <w:spacing w:val="30"/>
                <w:sz w:val="18"/>
                <w:szCs w:val="18"/>
              </w:rPr>
              <w:t>2017</w:t>
            </w:r>
            <w:r>
              <w:rPr>
                <w:rFonts w:hint="eastAsia"/>
                <w:spacing w:val="30"/>
                <w:sz w:val="18"/>
                <w:szCs w:val="18"/>
              </w:rPr>
              <w:t>年</w:t>
            </w:r>
          </w:p>
        </w:tc>
        <w:tc>
          <w:tcPr>
            <w:tcW w:w="1559" w:type="dxa"/>
            <w:tcBorders>
              <w:top w:val="single" w:sz="4" w:space="0" w:color="auto"/>
              <w:left w:val="nil"/>
              <w:bottom w:val="single" w:sz="4" w:space="0" w:color="auto"/>
              <w:right w:val="nil"/>
            </w:tcBorders>
            <w:vAlign w:val="center"/>
          </w:tcPr>
          <w:p w:rsidR="002C02E6" w:rsidRDefault="00C917C2">
            <w:pPr>
              <w:spacing w:afterLines="50" w:after="156"/>
              <w:jc w:val="center"/>
              <w:rPr>
                <w:spacing w:val="30"/>
                <w:sz w:val="18"/>
                <w:szCs w:val="18"/>
              </w:rPr>
            </w:pPr>
            <w:bookmarkStart w:id="105" w:name="_Toc491609210"/>
            <w:r>
              <w:rPr>
                <w:rFonts w:hint="eastAsia"/>
                <w:spacing w:val="30"/>
                <w:sz w:val="18"/>
                <w:szCs w:val="18"/>
              </w:rPr>
              <w:t>上年同期</w:t>
            </w:r>
            <w:bookmarkEnd w:id="105"/>
          </w:p>
        </w:tc>
      </w:tr>
      <w:tr w:rsidR="002C02E6">
        <w:tc>
          <w:tcPr>
            <w:tcW w:w="1951"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06" w:name="_Toc491609212"/>
            <w:r>
              <w:rPr>
                <w:rFonts w:ascii="宋体" w:hAnsi="宋体" w:hint="eastAsia"/>
                <w:color w:val="000000"/>
                <w:spacing w:val="30"/>
                <w:sz w:val="18"/>
                <w:szCs w:val="18"/>
              </w:rPr>
              <w:t>药品收入</w:t>
            </w:r>
            <w:bookmarkEnd w:id="106"/>
          </w:p>
        </w:tc>
        <w:tc>
          <w:tcPr>
            <w:tcW w:w="1559"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0.00</w:t>
            </w:r>
          </w:p>
        </w:tc>
        <w:tc>
          <w:tcPr>
            <w:tcW w:w="1418"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0.00</w:t>
            </w:r>
          </w:p>
        </w:tc>
        <w:tc>
          <w:tcPr>
            <w:tcW w:w="1276"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w:t>
            </w:r>
          </w:p>
        </w:tc>
        <w:tc>
          <w:tcPr>
            <w:tcW w:w="1417"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0.00%</w:t>
            </w:r>
          </w:p>
        </w:tc>
        <w:tc>
          <w:tcPr>
            <w:tcW w:w="1559" w:type="dxa"/>
            <w:tcBorders>
              <w:top w:val="single" w:sz="4" w:space="0" w:color="auto"/>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0.00%</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07" w:name="_Toc491609228"/>
            <w:r>
              <w:rPr>
                <w:rFonts w:ascii="宋体" w:hAnsi="宋体" w:hint="eastAsia"/>
                <w:color w:val="000000"/>
                <w:spacing w:val="30"/>
                <w:sz w:val="18"/>
                <w:szCs w:val="18"/>
              </w:rPr>
              <w:lastRenderedPageBreak/>
              <w:t>诊察收入</w:t>
            </w:r>
            <w:bookmarkEnd w:id="107"/>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568.48</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104.53</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22.53%</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7.80%</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7.04%</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08" w:name="_Toc491609236"/>
            <w:r>
              <w:rPr>
                <w:rFonts w:ascii="宋体" w:hAnsi="宋体" w:hint="eastAsia"/>
                <w:color w:val="000000"/>
                <w:spacing w:val="30"/>
                <w:sz w:val="18"/>
                <w:szCs w:val="18"/>
              </w:rPr>
              <w:t>检查收入</w:t>
            </w:r>
            <w:bookmarkEnd w:id="108"/>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2615.22</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420.64</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19.17%</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35.90%</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33.29%</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09" w:name="_Toc491609244"/>
            <w:r>
              <w:rPr>
                <w:rFonts w:ascii="宋体" w:hAnsi="宋体" w:hint="eastAsia"/>
                <w:color w:val="000000"/>
                <w:spacing w:val="30"/>
                <w:sz w:val="18"/>
                <w:szCs w:val="18"/>
              </w:rPr>
              <w:t>治疗收入</w:t>
            </w:r>
            <w:bookmarkEnd w:id="109"/>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1062.58</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92.94</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9.58%</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14.59%</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14.71%</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10" w:name="_Toc491609252"/>
            <w:r>
              <w:rPr>
                <w:rFonts w:ascii="宋体" w:hAnsi="宋体" w:hint="eastAsia"/>
                <w:color w:val="000000"/>
                <w:spacing w:val="30"/>
                <w:sz w:val="18"/>
                <w:szCs w:val="18"/>
              </w:rPr>
              <w:t>手术收入</w:t>
            </w:r>
            <w:bookmarkEnd w:id="110"/>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117.23</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25.72</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28.11%</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1.61%</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1.39%</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11" w:name="_Toc491609260"/>
            <w:r>
              <w:rPr>
                <w:rFonts w:ascii="宋体" w:hAnsi="宋体" w:hint="eastAsia"/>
                <w:color w:val="000000"/>
                <w:spacing w:val="30"/>
                <w:sz w:val="18"/>
                <w:szCs w:val="18"/>
              </w:rPr>
              <w:t>化验收入</w:t>
            </w:r>
            <w:bookmarkEnd w:id="111"/>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214.54</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173.31</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420.30%</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2.95%</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0.63%</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12" w:name="_Toc491609268"/>
            <w:r>
              <w:rPr>
                <w:rFonts w:ascii="宋体" w:hAnsi="宋体" w:hint="eastAsia"/>
                <w:color w:val="000000"/>
                <w:spacing w:val="30"/>
                <w:sz w:val="18"/>
                <w:szCs w:val="18"/>
              </w:rPr>
              <w:t>卫生材料收入</w:t>
            </w:r>
            <w:bookmarkEnd w:id="112"/>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2368.44</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-79.07</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-3.23%</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32.51%</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37.12%</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13" w:name="_Toc491609276"/>
            <w:r>
              <w:rPr>
                <w:rFonts w:ascii="宋体" w:hAnsi="宋体" w:hint="eastAsia"/>
                <w:color w:val="000000"/>
                <w:spacing w:val="30"/>
                <w:sz w:val="18"/>
                <w:szCs w:val="18"/>
              </w:rPr>
              <w:t>床位收入</w:t>
            </w:r>
            <w:bookmarkEnd w:id="113"/>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150.20</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-21.95</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-12.75%</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2.06%</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2.61%</w:t>
            </w:r>
          </w:p>
        </w:tc>
      </w:tr>
      <w:tr w:rsidR="002C02E6">
        <w:tc>
          <w:tcPr>
            <w:tcW w:w="1951"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bookmarkStart w:id="114" w:name="_Toc491609284"/>
            <w:r>
              <w:rPr>
                <w:rFonts w:ascii="宋体" w:hAnsi="宋体" w:hint="eastAsia"/>
                <w:color w:val="000000"/>
                <w:spacing w:val="30"/>
                <w:sz w:val="18"/>
                <w:szCs w:val="18"/>
              </w:rPr>
              <w:t>护理收入</w:t>
            </w:r>
            <w:bookmarkEnd w:id="114"/>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179.82</w:t>
            </w:r>
          </w:p>
        </w:tc>
        <w:tc>
          <w:tcPr>
            <w:tcW w:w="1418"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-12.67</w:t>
            </w:r>
          </w:p>
        </w:tc>
        <w:tc>
          <w:tcPr>
            <w:tcW w:w="1276"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-6.58%</w:t>
            </w:r>
          </w:p>
        </w:tc>
        <w:tc>
          <w:tcPr>
            <w:tcW w:w="1417"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2.47%</w:t>
            </w:r>
          </w:p>
        </w:tc>
        <w:tc>
          <w:tcPr>
            <w:tcW w:w="1559" w:type="dxa"/>
            <w:tcBorders>
              <w:top w:val="nil"/>
              <w:left w:val="nil"/>
              <w:bottom w:val="nil"/>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2.92%</w:t>
            </w:r>
          </w:p>
        </w:tc>
      </w:tr>
      <w:tr w:rsidR="002C02E6">
        <w:tc>
          <w:tcPr>
            <w:tcW w:w="1951"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bookmarkStart w:id="115" w:name="_Toc491609292"/>
            <w:r>
              <w:rPr>
                <w:rFonts w:ascii="宋体" w:hAnsi="宋体" w:hint="eastAsia"/>
                <w:color w:val="000000"/>
                <w:spacing w:val="30"/>
                <w:sz w:val="18"/>
                <w:szCs w:val="18"/>
              </w:rPr>
              <w:t>其他收入</w:t>
            </w:r>
            <w:bookmarkEnd w:id="115"/>
          </w:p>
        </w:tc>
        <w:tc>
          <w:tcPr>
            <w:tcW w:w="1559"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8.12</w:t>
            </w:r>
          </w:p>
        </w:tc>
        <w:tc>
          <w:tcPr>
            <w:tcW w:w="1418"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-11.50</w:t>
            </w:r>
          </w:p>
        </w:tc>
        <w:tc>
          <w:tcPr>
            <w:tcW w:w="1276"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-58.60%</w:t>
            </w:r>
          </w:p>
        </w:tc>
        <w:tc>
          <w:tcPr>
            <w:tcW w:w="1417"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0.11%</w:t>
            </w:r>
          </w:p>
        </w:tc>
        <w:tc>
          <w:tcPr>
            <w:tcW w:w="1559" w:type="dxa"/>
            <w:tcBorders>
              <w:top w:val="nil"/>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0.30%</w:t>
            </w:r>
          </w:p>
        </w:tc>
      </w:tr>
      <w:tr w:rsidR="002C02E6">
        <w:tc>
          <w:tcPr>
            <w:tcW w:w="1951"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bookmarkStart w:id="116" w:name="_Toc491609300"/>
            <w:r>
              <w:rPr>
                <w:rFonts w:ascii="宋体" w:hAnsi="宋体" w:hint="eastAsia"/>
                <w:color w:val="000000"/>
                <w:spacing w:val="30"/>
                <w:sz w:val="18"/>
                <w:szCs w:val="18"/>
              </w:rPr>
              <w:t>合计</w:t>
            </w:r>
            <w:bookmarkEnd w:id="116"/>
          </w:p>
        </w:tc>
        <w:tc>
          <w:tcPr>
            <w:tcW w:w="1559"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7284.64</w:t>
            </w:r>
          </w:p>
        </w:tc>
        <w:tc>
          <w:tcPr>
            <w:tcW w:w="1418"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691.96</w:t>
            </w:r>
          </w:p>
        </w:tc>
        <w:tc>
          <w:tcPr>
            <w:tcW w:w="1276"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10.50%</w:t>
            </w:r>
          </w:p>
        </w:tc>
        <w:tc>
          <w:tcPr>
            <w:tcW w:w="1417"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100.00%</w:t>
            </w:r>
          </w:p>
        </w:tc>
        <w:tc>
          <w:tcPr>
            <w:tcW w:w="1559" w:type="dxa"/>
            <w:tcBorders>
              <w:top w:val="single" w:sz="4" w:space="0" w:color="auto"/>
              <w:left w:val="nil"/>
              <w:bottom w:val="single" w:sz="4" w:space="0" w:color="auto"/>
              <w:right w:val="nil"/>
            </w:tcBorders>
            <w:vAlign w:val="center"/>
          </w:tcPr>
          <w:p w:rsidR="002C02E6" w:rsidRDefault="00C917C2">
            <w:pPr>
              <w:spacing w:afterLines="50" w:after="156"/>
              <w:jc w:val="center"/>
              <w:rPr>
                <w:rFonts w:ascii="宋体" w:hAnsi="宋体"/>
                <w:color w:val="000000"/>
                <w:spacing w:val="30"/>
                <w:sz w:val="18"/>
                <w:szCs w:val="18"/>
              </w:rPr>
            </w:pPr>
            <w:r>
              <w:rPr>
                <w:rFonts w:ascii="宋体" w:hAnsi="宋体" w:hint="eastAsia"/>
                <w:color w:val="000000"/>
                <w:spacing w:val="30"/>
                <w:sz w:val="18"/>
                <w:szCs w:val="18"/>
              </w:rPr>
              <w:t>100.00%</w:t>
            </w:r>
          </w:p>
        </w:tc>
      </w:tr>
    </w:tbl>
    <w:p w:rsidR="002C02E6" w:rsidRDefault="00C917C2">
      <w:pPr>
        <w:spacing w:afterLines="50" w:after="156"/>
        <w:ind w:firstLine="420"/>
        <w:jc w:val="center"/>
        <w:rPr>
          <w:rFonts w:ascii="宋体" w:hAnsi="宋体"/>
          <w:color w:val="000000"/>
          <w:spacing w:val="30"/>
          <w:sz w:val="18"/>
          <w:szCs w:val="18"/>
        </w:rPr>
      </w:pPr>
      <w:r>
        <w:rPr>
          <w:noProof/>
        </w:rPr>
        <w:t xml:space="preserve"> </w:t>
      </w:r>
      <w:r>
        <w:rPr>
          <w:noProof/>
        </w:rPr>
        <w:drawing>
          <wp:inline distT="0" distB="0" distL="0" distR="0">
            <wp:extent cx="4289425" cy="2668905"/>
            <wp:effectExtent l="0" t="0" r="0" b="0"/>
            <wp:docPr id="12"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pStyle w:val="a4"/>
        <w:numPr>
          <w:ilvl w:val="2"/>
          <w:numId w:val="20"/>
        </w:numPr>
        <w:spacing w:beforeLines="50" w:before="156" w:afterLines="50" w:after="156"/>
        <w:ind w:left="811" w:firstLineChars="0" w:hanging="357"/>
        <w:rPr>
          <w:rFonts w:ascii="宋体"/>
          <w:sz w:val="24"/>
        </w:rPr>
      </w:pPr>
      <w:r>
        <w:rPr>
          <w:rFonts w:ascii="宋体" w:hint="eastAsia"/>
          <w:sz w:val="24"/>
        </w:rPr>
        <w:t>院区收入</w:t>
      </w:r>
    </w:p>
    <w:p w:rsidR="002C02E6" w:rsidRDefault="00C917C2">
      <w:pPr>
        <w:jc w:val="center"/>
        <w:rPr>
          <w:rFonts w:ascii="宋体"/>
          <w:b/>
          <w:szCs w:val="21"/>
        </w:rPr>
      </w:pPr>
      <w:r>
        <w:rPr>
          <w:rFonts w:ascii="宋体" w:hint="eastAsia"/>
          <w:b/>
          <w:szCs w:val="21"/>
        </w:rPr>
        <w:t>2017年院区总收入情况</w:t>
      </w:r>
      <w:r>
        <w:rPr>
          <w:rFonts w:ascii="宋体"/>
          <w:b/>
          <w:szCs w:val="21"/>
        </w:rPr>
        <w:t>表</w:t>
      </w:r>
    </w:p>
    <w:p w:rsidR="002C02E6" w:rsidRDefault="00C917C2">
      <w:pPr>
        <w:ind w:left="420" w:right="720"/>
        <w:jc w:val="right"/>
        <w:rPr>
          <w:rFonts w:ascii="宋体"/>
          <w:b/>
          <w:bCs/>
          <w:sz w:val="18"/>
          <w:szCs w:val="18"/>
        </w:rPr>
      </w:pPr>
      <w:r>
        <w:rPr>
          <w:rFonts w:ascii="宋体" w:hint="eastAsia"/>
          <w:sz w:val="18"/>
          <w:szCs w:val="18"/>
        </w:rPr>
        <w:t>单位;万元</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3657.25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3789.62</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-132.37</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-3.49%</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2445.00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1735.90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709.10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40.85%</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1182.39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1067.16</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115.23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10.80%</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0.00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7284.64</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6592.68</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691.96</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10.50%</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sz w:val="21"/>
          <w:szCs w:val="21"/>
        </w:rPr>
      </w:pPr>
      <w:r>
        <w:rPr>
          <w:noProof/>
        </w:rPr>
        <w:t xml:space="preserve"> </w:t>
      </w:r>
      <w:r>
        <w:rPr>
          <w:noProof/>
        </w:rPr>
        <w:drawing>
          <wp:inline distT="0" distB="0" distL="0" distR="0">
            <wp:extent cx="4951095" cy="3144520"/>
            <wp:effectExtent l="0" t="0" r="0" b="0"/>
            <wp:docPr id="13"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1095" cy="3144520"/>
                    </a:xfrm>
                    <a:prstGeom prst="rect">
                      <a:avLst/>
                    </a:prstGeom>
                    <a:noFill/>
                    <a:ln>
                      <a:noFill/>
                    </a:ln>
                  </pic:spPr>
                </pic:pic>
              </a:graphicData>
            </a:graphic>
          </wp:inline>
        </w:drawing>
      </w:r>
    </w:p>
    <w:p w:rsidR="002C02E6" w:rsidRDefault="00C917C2">
      <w:pPr>
        <w:pStyle w:val="4"/>
        <w:ind w:firstLine="482"/>
        <w:rPr>
          <w:rFonts w:ascii="宋体"/>
          <w:b/>
          <w:sz w:val="24"/>
        </w:rPr>
      </w:pPr>
      <w:bookmarkStart w:id="117" w:name="_Toc500143188"/>
      <w:r>
        <w:rPr>
          <w:rFonts w:ascii="宋体" w:hint="eastAsia"/>
          <w:b/>
          <w:sz w:val="24"/>
        </w:rPr>
        <w:t>(二) 成本</w:t>
      </w:r>
      <w:bookmarkEnd w:id="117"/>
    </w:p>
    <w:p w:rsidR="002C02E6" w:rsidRDefault="00C917C2">
      <w:pPr>
        <w:rPr>
          <w:rFonts w:ascii="宋体"/>
          <w:sz w:val="24"/>
        </w:rPr>
      </w:pPr>
      <w:r>
        <w:rPr>
          <w:rFonts w:ascii="宋体" w:hint="eastAsia"/>
          <w:sz w:val="24"/>
        </w:rPr>
        <w:t>1.总成本</w:t>
      </w:r>
    </w:p>
    <w:p w:rsidR="002C02E6" w:rsidRDefault="00C917C2">
      <w:pPr>
        <w:spacing w:beforeLines="50" w:before="156" w:afterLines="50" w:after="156" w:line="360" w:lineRule="auto"/>
        <w:ind w:firstLine="420"/>
        <w:rPr>
          <w:rFonts w:ascii="宋体"/>
          <w:sz w:val="24"/>
        </w:rPr>
      </w:pPr>
      <w:r>
        <w:rPr>
          <w:rFonts w:ascii="宋体" w:hint="eastAsia"/>
          <w:sz w:val="24"/>
        </w:rPr>
        <w:t>2017年发生成本12748万元，较上年同期11516元增加1232，增幅10.70%。</w:t>
      </w:r>
    </w:p>
    <w:p w:rsidR="002C02E6" w:rsidRDefault="00C917C2">
      <w:pPr>
        <w:spacing w:afterLines="50" w:after="156" w:line="360" w:lineRule="auto"/>
        <w:jc w:val="center"/>
        <w:rPr>
          <w:rFonts w:ascii="宋体" w:hAnsi="宋体"/>
          <w:b/>
          <w:color w:val="000000"/>
          <w:szCs w:val="21"/>
        </w:rPr>
      </w:pPr>
      <w:r>
        <w:rPr>
          <w:rFonts w:ascii="宋体" w:hAnsi="宋体" w:hint="eastAsia"/>
          <w:b/>
          <w:color w:val="000000"/>
          <w:szCs w:val="21"/>
        </w:rPr>
        <w:t>2017年医疗成本情况表</w:t>
      </w:r>
    </w:p>
    <w:p w:rsidR="002C02E6" w:rsidRDefault="00C917C2">
      <w:pPr>
        <w:ind w:left="420" w:right="720"/>
        <w:jc w:val="right"/>
        <w:rPr>
          <w:rFonts w:ascii="宋体"/>
          <w:sz w:val="18"/>
          <w:szCs w:val="18"/>
        </w:rPr>
      </w:pPr>
      <w:r>
        <w:rPr>
          <w:rFonts w:ascii="宋体" w:hint="eastAsia"/>
          <w:sz w:val="18"/>
          <w:szCs w:val="18"/>
        </w:rPr>
        <w:t>单位;万元</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1466"/>
        <w:gridCol w:w="1559"/>
        <w:gridCol w:w="1418"/>
        <w:gridCol w:w="1407"/>
        <w:gridCol w:w="1418"/>
      </w:tblGrid>
      <w:tr w:rsidR="002C02E6">
        <w:trPr>
          <w:cantSplit/>
          <w:trHeight w:val="427"/>
          <w:tblHeader/>
          <w:jc w:val="center"/>
        </w:trPr>
        <w:tc>
          <w:tcPr>
            <w:tcW w:w="1930"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项目名称</w:t>
            </w:r>
          </w:p>
        </w:tc>
        <w:tc>
          <w:tcPr>
            <w:tcW w:w="1466"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2017年</w:t>
            </w:r>
          </w:p>
        </w:tc>
        <w:tc>
          <w:tcPr>
            <w:tcW w:w="1559"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上年同期</w:t>
            </w:r>
          </w:p>
        </w:tc>
        <w:tc>
          <w:tcPr>
            <w:tcW w:w="1418"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增长额</w:t>
            </w:r>
          </w:p>
        </w:tc>
        <w:tc>
          <w:tcPr>
            <w:tcW w:w="1407"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增幅</w:t>
            </w:r>
          </w:p>
        </w:tc>
        <w:tc>
          <w:tcPr>
            <w:tcW w:w="1418" w:type="dxa"/>
            <w:tcBorders>
              <w:top w:val="single" w:sz="4" w:space="0" w:color="auto"/>
              <w:left w:val="nil"/>
              <w:bottom w:val="single" w:sz="4" w:space="0" w:color="auto"/>
              <w:right w:val="nil"/>
            </w:tcBorders>
          </w:tcPr>
          <w:p w:rsidR="002C02E6" w:rsidRDefault="00C917C2">
            <w:pPr>
              <w:spacing w:line="360" w:lineRule="auto"/>
              <w:jc w:val="center"/>
              <w:rPr>
                <w:rFonts w:ascii="宋体" w:hAnsi="宋体"/>
                <w:b/>
                <w:color w:val="000000"/>
                <w:spacing w:val="30"/>
                <w:sz w:val="18"/>
                <w:szCs w:val="18"/>
              </w:rPr>
            </w:pPr>
            <w:r>
              <w:rPr>
                <w:rFonts w:ascii="宋体" w:hAnsi="宋体" w:hint="eastAsia"/>
                <w:b/>
                <w:color w:val="000000"/>
                <w:spacing w:val="30"/>
                <w:sz w:val="18"/>
                <w:szCs w:val="18"/>
              </w:rPr>
              <w:t>占比</w:t>
            </w:r>
          </w:p>
        </w:tc>
      </w:tr>
      <w:tr w:rsidR="002C02E6">
        <w:trPr>
          <w:cantSplit/>
          <w:tblHeader/>
          <w:jc w:val="center"/>
        </w:trPr>
        <w:tc>
          <w:tcPr>
            <w:tcW w:w="1930" w:type="dxa"/>
            <w:tcBorders>
              <w:top w:val="single" w:sz="4" w:space="0" w:color="auto"/>
              <w:left w:val="nil"/>
              <w:bottom w:val="nil"/>
              <w:right w:val="nil"/>
            </w:tcBorders>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人员经费</w:t>
            </w:r>
          </w:p>
        </w:tc>
        <w:tc>
          <w:tcPr>
            <w:tcW w:w="1466"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2707.00</w:t>
            </w:r>
          </w:p>
        </w:tc>
        <w:tc>
          <w:tcPr>
            <w:tcW w:w="1559"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2519.71</w:t>
            </w:r>
          </w:p>
        </w:tc>
        <w:tc>
          <w:tcPr>
            <w:tcW w:w="1418"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187.29</w:t>
            </w:r>
          </w:p>
        </w:tc>
        <w:tc>
          <w:tcPr>
            <w:tcW w:w="1407"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7.43%</w:t>
            </w:r>
          </w:p>
        </w:tc>
        <w:tc>
          <w:tcPr>
            <w:tcW w:w="1418"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21.24%</w:t>
            </w:r>
          </w:p>
        </w:tc>
      </w:tr>
      <w:tr w:rsidR="002C02E6">
        <w:trPr>
          <w:cantSplit/>
          <w:tblHeader/>
          <w:jc w:val="center"/>
        </w:trPr>
        <w:tc>
          <w:tcPr>
            <w:tcW w:w="1930" w:type="dxa"/>
            <w:tcBorders>
              <w:top w:val="nil"/>
              <w:left w:val="nil"/>
              <w:bottom w:val="nil"/>
              <w:right w:val="nil"/>
            </w:tcBorders>
            <w:vAlign w:val="center"/>
          </w:tcPr>
          <w:p w:rsidR="002C02E6" w:rsidRDefault="00C917C2">
            <w:pPr>
              <w:rPr>
                <w:rFonts w:ascii="宋体" w:hAnsi="宋体"/>
                <w:color w:val="000000"/>
                <w:spacing w:val="30"/>
                <w:sz w:val="18"/>
                <w:szCs w:val="18"/>
              </w:rPr>
            </w:pPr>
            <w:r>
              <w:rPr>
                <w:rFonts w:hint="eastAsia"/>
                <w:spacing w:val="30"/>
                <w:sz w:val="18"/>
                <w:szCs w:val="18"/>
              </w:rPr>
              <w:t>卫生材料费</w:t>
            </w:r>
          </w:p>
        </w:tc>
        <w:tc>
          <w:tcPr>
            <w:tcW w:w="1466"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3053.60</w:t>
            </w:r>
          </w:p>
        </w:tc>
        <w:tc>
          <w:tcPr>
            <w:tcW w:w="1559"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3012.91</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40.70</w:t>
            </w:r>
          </w:p>
        </w:tc>
        <w:tc>
          <w:tcPr>
            <w:tcW w:w="1407"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1.35%</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23.95%</w:t>
            </w:r>
          </w:p>
        </w:tc>
      </w:tr>
      <w:tr w:rsidR="002C02E6">
        <w:trPr>
          <w:cantSplit/>
          <w:tblHeader/>
          <w:jc w:val="center"/>
        </w:trPr>
        <w:tc>
          <w:tcPr>
            <w:tcW w:w="1930" w:type="dxa"/>
            <w:tcBorders>
              <w:top w:val="nil"/>
              <w:left w:val="nil"/>
              <w:bottom w:val="nil"/>
              <w:right w:val="nil"/>
            </w:tcBorders>
            <w:vAlign w:val="center"/>
          </w:tcPr>
          <w:p w:rsidR="002C02E6" w:rsidRDefault="00C917C2">
            <w:pPr>
              <w:rPr>
                <w:spacing w:val="30"/>
                <w:sz w:val="18"/>
                <w:szCs w:val="18"/>
              </w:rPr>
            </w:pPr>
            <w:r>
              <w:rPr>
                <w:rFonts w:ascii="宋体" w:hint="eastAsia"/>
                <w:spacing w:val="30"/>
                <w:sz w:val="18"/>
                <w:szCs w:val="18"/>
              </w:rPr>
              <w:t>药品费</w:t>
            </w:r>
          </w:p>
        </w:tc>
        <w:tc>
          <w:tcPr>
            <w:tcW w:w="1466"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5455.01</w:t>
            </w:r>
          </w:p>
        </w:tc>
        <w:tc>
          <w:tcPr>
            <w:tcW w:w="1559"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4827.10</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627.91</w:t>
            </w:r>
          </w:p>
        </w:tc>
        <w:tc>
          <w:tcPr>
            <w:tcW w:w="1407"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13.01%</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42.79%</w:t>
            </w:r>
          </w:p>
        </w:tc>
      </w:tr>
      <w:tr w:rsidR="002C02E6">
        <w:trPr>
          <w:cantSplit/>
          <w:tblHeader/>
          <w:jc w:val="center"/>
        </w:trPr>
        <w:tc>
          <w:tcPr>
            <w:tcW w:w="1930" w:type="dxa"/>
            <w:tcBorders>
              <w:top w:val="nil"/>
              <w:left w:val="nil"/>
              <w:bottom w:val="nil"/>
              <w:right w:val="nil"/>
            </w:tcBorders>
            <w:vAlign w:val="center"/>
          </w:tcPr>
          <w:p w:rsidR="002C02E6" w:rsidRDefault="00C917C2">
            <w:pPr>
              <w:rPr>
                <w:spacing w:val="30"/>
                <w:sz w:val="18"/>
                <w:szCs w:val="18"/>
              </w:rPr>
            </w:pPr>
            <w:r>
              <w:rPr>
                <w:rFonts w:hint="eastAsia"/>
                <w:spacing w:val="30"/>
                <w:sz w:val="18"/>
                <w:szCs w:val="18"/>
              </w:rPr>
              <w:t>固定资产折旧费</w:t>
            </w:r>
          </w:p>
        </w:tc>
        <w:tc>
          <w:tcPr>
            <w:tcW w:w="1466"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730.62</w:t>
            </w:r>
          </w:p>
        </w:tc>
        <w:tc>
          <w:tcPr>
            <w:tcW w:w="1559"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548.19</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182.43</w:t>
            </w:r>
          </w:p>
        </w:tc>
        <w:tc>
          <w:tcPr>
            <w:tcW w:w="1407"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33.28%</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5.73%</w:t>
            </w:r>
          </w:p>
        </w:tc>
      </w:tr>
      <w:tr w:rsidR="002C02E6">
        <w:trPr>
          <w:cantSplit/>
          <w:tblHeader/>
          <w:jc w:val="center"/>
        </w:trPr>
        <w:tc>
          <w:tcPr>
            <w:tcW w:w="1930" w:type="dxa"/>
            <w:tcBorders>
              <w:top w:val="nil"/>
              <w:left w:val="nil"/>
              <w:bottom w:val="nil"/>
              <w:right w:val="nil"/>
            </w:tcBorders>
            <w:vAlign w:val="center"/>
          </w:tcPr>
          <w:p w:rsidR="002C02E6" w:rsidRDefault="00C917C2">
            <w:pPr>
              <w:rPr>
                <w:rFonts w:ascii="宋体" w:hAnsi="宋体"/>
                <w:color w:val="000000"/>
                <w:spacing w:val="30"/>
                <w:sz w:val="18"/>
                <w:szCs w:val="18"/>
              </w:rPr>
            </w:pPr>
            <w:r>
              <w:rPr>
                <w:rFonts w:hint="eastAsia"/>
                <w:spacing w:val="30"/>
                <w:sz w:val="18"/>
                <w:szCs w:val="18"/>
              </w:rPr>
              <w:t>无形资产摊销费</w:t>
            </w:r>
          </w:p>
        </w:tc>
        <w:tc>
          <w:tcPr>
            <w:tcW w:w="1466"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15.99</w:t>
            </w:r>
          </w:p>
        </w:tc>
        <w:tc>
          <w:tcPr>
            <w:tcW w:w="1559"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13.08</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2.91</w:t>
            </w:r>
          </w:p>
        </w:tc>
        <w:tc>
          <w:tcPr>
            <w:tcW w:w="1407"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22.21%</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0.13%</w:t>
            </w:r>
          </w:p>
        </w:tc>
      </w:tr>
      <w:tr w:rsidR="002C02E6">
        <w:trPr>
          <w:cantSplit/>
          <w:tblHeader/>
          <w:jc w:val="center"/>
        </w:trPr>
        <w:tc>
          <w:tcPr>
            <w:tcW w:w="1930" w:type="dxa"/>
            <w:tcBorders>
              <w:top w:val="nil"/>
              <w:left w:val="nil"/>
              <w:bottom w:val="nil"/>
              <w:right w:val="nil"/>
            </w:tcBorders>
            <w:vAlign w:val="center"/>
          </w:tcPr>
          <w:p w:rsidR="002C02E6" w:rsidRDefault="00C917C2">
            <w:pPr>
              <w:rPr>
                <w:rFonts w:ascii="宋体" w:hAnsi="宋体"/>
                <w:color w:val="000000"/>
                <w:spacing w:val="30"/>
                <w:sz w:val="18"/>
                <w:szCs w:val="18"/>
              </w:rPr>
            </w:pPr>
            <w:proofErr w:type="gramStart"/>
            <w:r>
              <w:rPr>
                <w:rFonts w:hint="eastAsia"/>
                <w:spacing w:val="30"/>
                <w:sz w:val="18"/>
                <w:szCs w:val="18"/>
              </w:rPr>
              <w:t>提医疗</w:t>
            </w:r>
            <w:proofErr w:type="gramEnd"/>
            <w:r>
              <w:rPr>
                <w:rFonts w:hint="eastAsia"/>
                <w:spacing w:val="30"/>
                <w:sz w:val="18"/>
                <w:szCs w:val="18"/>
              </w:rPr>
              <w:t>风险基金</w:t>
            </w:r>
          </w:p>
        </w:tc>
        <w:tc>
          <w:tcPr>
            <w:tcW w:w="1466"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24.88</w:t>
            </w:r>
          </w:p>
        </w:tc>
        <w:tc>
          <w:tcPr>
            <w:tcW w:w="1559"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38.27</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-13.39</w:t>
            </w:r>
          </w:p>
        </w:tc>
        <w:tc>
          <w:tcPr>
            <w:tcW w:w="1407"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-34.99%</w:t>
            </w:r>
          </w:p>
        </w:tc>
        <w:tc>
          <w:tcPr>
            <w:tcW w:w="1418" w:type="dxa"/>
            <w:tcBorders>
              <w:top w:val="nil"/>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0.20%</w:t>
            </w:r>
          </w:p>
        </w:tc>
      </w:tr>
      <w:tr w:rsidR="002C02E6">
        <w:trPr>
          <w:cantSplit/>
          <w:tblHeader/>
          <w:jc w:val="center"/>
        </w:trPr>
        <w:tc>
          <w:tcPr>
            <w:tcW w:w="1930" w:type="dxa"/>
            <w:tcBorders>
              <w:top w:val="nil"/>
              <w:left w:val="nil"/>
              <w:bottom w:val="single" w:sz="4" w:space="0" w:color="auto"/>
              <w:right w:val="nil"/>
            </w:tcBorders>
            <w:vAlign w:val="center"/>
          </w:tcPr>
          <w:p w:rsidR="002C02E6" w:rsidRDefault="00C917C2">
            <w:pPr>
              <w:rPr>
                <w:rFonts w:ascii="宋体" w:hAnsi="宋体"/>
                <w:color w:val="000000"/>
                <w:spacing w:val="30"/>
                <w:sz w:val="18"/>
                <w:szCs w:val="18"/>
              </w:rPr>
            </w:pPr>
            <w:r>
              <w:rPr>
                <w:rFonts w:hint="eastAsia"/>
                <w:spacing w:val="30"/>
                <w:sz w:val="18"/>
                <w:szCs w:val="18"/>
              </w:rPr>
              <w:t>其他费用</w:t>
            </w:r>
          </w:p>
        </w:tc>
        <w:tc>
          <w:tcPr>
            <w:tcW w:w="1466" w:type="dxa"/>
            <w:tcBorders>
              <w:top w:val="nil"/>
              <w:left w:val="nil"/>
              <w:bottom w:val="single" w:sz="4" w:space="0" w:color="auto"/>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760.44</w:t>
            </w:r>
          </w:p>
        </w:tc>
        <w:tc>
          <w:tcPr>
            <w:tcW w:w="1559" w:type="dxa"/>
            <w:tcBorders>
              <w:top w:val="nil"/>
              <w:left w:val="nil"/>
              <w:bottom w:val="single" w:sz="4" w:space="0" w:color="auto"/>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556.48</w:t>
            </w:r>
          </w:p>
        </w:tc>
        <w:tc>
          <w:tcPr>
            <w:tcW w:w="1418" w:type="dxa"/>
            <w:tcBorders>
              <w:top w:val="nil"/>
              <w:left w:val="nil"/>
              <w:bottom w:val="single" w:sz="4" w:space="0" w:color="auto"/>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203.96</w:t>
            </w:r>
          </w:p>
        </w:tc>
        <w:tc>
          <w:tcPr>
            <w:tcW w:w="1407" w:type="dxa"/>
            <w:tcBorders>
              <w:top w:val="nil"/>
              <w:left w:val="nil"/>
              <w:bottom w:val="single" w:sz="4" w:space="0" w:color="auto"/>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36.65%</w:t>
            </w:r>
          </w:p>
        </w:tc>
        <w:tc>
          <w:tcPr>
            <w:tcW w:w="1418" w:type="dxa"/>
            <w:tcBorders>
              <w:top w:val="nil"/>
              <w:left w:val="nil"/>
              <w:bottom w:val="single" w:sz="4" w:space="0" w:color="auto"/>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5.97%</w:t>
            </w:r>
          </w:p>
        </w:tc>
      </w:tr>
      <w:tr w:rsidR="002C02E6">
        <w:trPr>
          <w:cantSplit/>
          <w:tblHeader/>
          <w:jc w:val="center"/>
        </w:trPr>
        <w:tc>
          <w:tcPr>
            <w:tcW w:w="1930" w:type="dxa"/>
            <w:tcBorders>
              <w:top w:val="single" w:sz="4" w:space="0" w:color="auto"/>
              <w:left w:val="nil"/>
              <w:bottom w:val="single" w:sz="4" w:space="0" w:color="auto"/>
              <w:right w:val="nil"/>
            </w:tcBorders>
            <w:vAlign w:val="center"/>
          </w:tcPr>
          <w:p w:rsidR="002C02E6" w:rsidRDefault="00C917C2">
            <w:pPr>
              <w:rPr>
                <w:rFonts w:ascii="宋体" w:hAnsi="宋体"/>
                <w:b/>
                <w:color w:val="000000"/>
                <w:spacing w:val="30"/>
                <w:sz w:val="18"/>
                <w:szCs w:val="18"/>
              </w:rPr>
            </w:pPr>
            <w:r>
              <w:rPr>
                <w:rFonts w:ascii="宋体" w:hAnsi="宋体" w:hint="eastAsia"/>
                <w:b/>
                <w:color w:val="000000"/>
                <w:spacing w:val="30"/>
                <w:sz w:val="18"/>
                <w:szCs w:val="18"/>
              </w:rPr>
              <w:t>合计</w:t>
            </w:r>
          </w:p>
        </w:tc>
        <w:tc>
          <w:tcPr>
            <w:tcW w:w="1466" w:type="dxa"/>
            <w:tcBorders>
              <w:top w:val="single" w:sz="4" w:space="0" w:color="auto"/>
              <w:left w:val="nil"/>
              <w:bottom w:val="single" w:sz="4" w:space="0" w:color="auto"/>
              <w:right w:val="nil"/>
            </w:tcBorders>
            <w:vAlign w:val="center"/>
          </w:tcPr>
          <w:p w:rsidR="002C02E6" w:rsidRDefault="00C917C2">
            <w:pPr>
              <w:jc w:val="center"/>
              <w:rPr>
                <w:rFonts w:ascii="宋体" w:hAnsi="宋体"/>
                <w:b/>
                <w:color w:val="000000"/>
                <w:spacing w:val="30"/>
                <w:sz w:val="18"/>
                <w:szCs w:val="18"/>
              </w:rPr>
            </w:pPr>
            <w:r>
              <w:rPr>
                <w:rFonts w:ascii="宋体" w:hAnsi="宋体" w:hint="eastAsia"/>
                <w:b/>
                <w:color w:val="000000"/>
                <w:spacing w:val="30"/>
                <w:sz w:val="18"/>
                <w:szCs w:val="18"/>
              </w:rPr>
              <w:t>12748</w:t>
            </w:r>
          </w:p>
        </w:tc>
        <w:tc>
          <w:tcPr>
            <w:tcW w:w="1559" w:type="dxa"/>
            <w:tcBorders>
              <w:top w:val="single" w:sz="4" w:space="0" w:color="auto"/>
              <w:left w:val="nil"/>
              <w:bottom w:val="single" w:sz="4" w:space="0" w:color="auto"/>
              <w:right w:val="nil"/>
            </w:tcBorders>
            <w:vAlign w:val="center"/>
          </w:tcPr>
          <w:p w:rsidR="002C02E6" w:rsidRDefault="00C917C2">
            <w:pPr>
              <w:jc w:val="center"/>
              <w:rPr>
                <w:rFonts w:ascii="宋体" w:hAnsi="宋体"/>
                <w:b/>
                <w:color w:val="000000"/>
                <w:spacing w:val="30"/>
                <w:sz w:val="18"/>
                <w:szCs w:val="18"/>
              </w:rPr>
            </w:pPr>
            <w:r>
              <w:rPr>
                <w:rFonts w:ascii="宋体" w:hAnsi="宋体" w:hint="eastAsia"/>
                <w:b/>
                <w:color w:val="000000"/>
                <w:spacing w:val="30"/>
                <w:sz w:val="18"/>
                <w:szCs w:val="18"/>
              </w:rPr>
              <w:t>11516</w:t>
            </w:r>
          </w:p>
        </w:tc>
        <w:tc>
          <w:tcPr>
            <w:tcW w:w="1418" w:type="dxa"/>
            <w:tcBorders>
              <w:top w:val="single" w:sz="4" w:space="0" w:color="auto"/>
              <w:left w:val="nil"/>
              <w:bottom w:val="single" w:sz="4" w:space="0" w:color="auto"/>
              <w:right w:val="nil"/>
            </w:tcBorders>
            <w:vAlign w:val="center"/>
          </w:tcPr>
          <w:p w:rsidR="002C02E6" w:rsidRDefault="00C917C2">
            <w:pPr>
              <w:jc w:val="center"/>
              <w:rPr>
                <w:rFonts w:ascii="宋体" w:hAnsi="宋体"/>
                <w:b/>
                <w:color w:val="000000"/>
                <w:spacing w:val="30"/>
                <w:sz w:val="18"/>
                <w:szCs w:val="18"/>
              </w:rPr>
            </w:pPr>
            <w:r>
              <w:rPr>
                <w:rFonts w:ascii="宋体" w:hAnsi="宋体" w:hint="eastAsia"/>
                <w:b/>
                <w:color w:val="000000"/>
                <w:spacing w:val="30"/>
                <w:sz w:val="18"/>
                <w:szCs w:val="18"/>
              </w:rPr>
              <w:t>1232</w:t>
            </w:r>
          </w:p>
        </w:tc>
        <w:tc>
          <w:tcPr>
            <w:tcW w:w="1407" w:type="dxa"/>
            <w:tcBorders>
              <w:top w:val="single" w:sz="4" w:space="0" w:color="auto"/>
              <w:left w:val="nil"/>
              <w:bottom w:val="single" w:sz="4" w:space="0" w:color="auto"/>
              <w:right w:val="nil"/>
            </w:tcBorders>
            <w:vAlign w:val="center"/>
          </w:tcPr>
          <w:p w:rsidR="002C02E6" w:rsidRDefault="00C917C2">
            <w:pPr>
              <w:jc w:val="center"/>
              <w:rPr>
                <w:rFonts w:ascii="宋体" w:hAnsi="宋体"/>
                <w:b/>
                <w:color w:val="000000"/>
                <w:spacing w:val="30"/>
                <w:sz w:val="18"/>
                <w:szCs w:val="18"/>
              </w:rPr>
            </w:pPr>
            <w:r>
              <w:rPr>
                <w:rFonts w:ascii="宋体" w:hAnsi="宋体" w:hint="eastAsia"/>
                <w:b/>
                <w:color w:val="000000"/>
                <w:spacing w:val="30"/>
                <w:sz w:val="18"/>
                <w:szCs w:val="18"/>
              </w:rPr>
              <w:t>10.70%</w:t>
            </w:r>
          </w:p>
        </w:tc>
        <w:tc>
          <w:tcPr>
            <w:tcW w:w="1418" w:type="dxa"/>
            <w:tcBorders>
              <w:top w:val="single" w:sz="4" w:space="0" w:color="auto"/>
              <w:left w:val="nil"/>
              <w:bottom w:val="single" w:sz="4" w:space="0" w:color="auto"/>
              <w:right w:val="nil"/>
            </w:tcBorders>
            <w:vAlign w:val="center"/>
          </w:tcPr>
          <w:p w:rsidR="002C02E6" w:rsidRDefault="00C917C2">
            <w:pPr>
              <w:jc w:val="center"/>
              <w:rPr>
                <w:rFonts w:ascii="宋体" w:hAnsi="宋体"/>
                <w:b/>
                <w:color w:val="000000"/>
                <w:spacing w:val="30"/>
                <w:sz w:val="18"/>
                <w:szCs w:val="18"/>
              </w:rPr>
            </w:pPr>
            <w:r>
              <w:rPr>
                <w:rFonts w:ascii="宋体" w:hAnsi="宋体" w:hint="eastAsia"/>
                <w:b/>
                <w:color w:val="000000"/>
                <w:spacing w:val="30"/>
                <w:sz w:val="18"/>
                <w:szCs w:val="18"/>
              </w:rPr>
              <w:t>100%</w:t>
            </w:r>
          </w:p>
        </w:tc>
      </w:tr>
    </w:tbl>
    <w:p w:rsidR="002C02E6" w:rsidRDefault="00C917C2">
      <w:pPr>
        <w:pStyle w:val="ac"/>
        <w:spacing w:beforeLines="50" w:before="156" w:afterLines="50" w:after="156"/>
        <w:ind w:firstLine="567"/>
        <w:outlineLvl w:val="9"/>
        <w:rPr>
          <w:rFonts w:ascii="宋体" w:hAnsi="Times New Roman"/>
          <w:b w:val="0"/>
          <w:bCs w:val="0"/>
          <w:sz w:val="21"/>
          <w:szCs w:val="21"/>
        </w:rPr>
      </w:pPr>
      <w:r>
        <w:rPr>
          <w:noProof/>
        </w:rPr>
        <w:lastRenderedPageBreak/>
        <w:t xml:space="preserve"> </w:t>
      </w:r>
      <w:r>
        <w:rPr>
          <w:noProof/>
        </w:rPr>
        <w:drawing>
          <wp:inline distT="0" distB="0" distL="0" distR="0">
            <wp:extent cx="4289425" cy="2668905"/>
            <wp:effectExtent l="0" t="0" r="0" b="0"/>
            <wp:docPr id="1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rPr>
          <w:rFonts w:ascii="宋体"/>
          <w:sz w:val="24"/>
        </w:rPr>
      </w:pPr>
      <w:r>
        <w:rPr>
          <w:rFonts w:ascii="宋体" w:hint="eastAsia"/>
          <w:sz w:val="24"/>
        </w:rPr>
        <w:t xml:space="preserve">2.院区成本  </w:t>
      </w:r>
    </w:p>
    <w:p w:rsidR="002C02E6" w:rsidRDefault="00C917C2">
      <w:pPr>
        <w:spacing w:afterLines="50" w:after="156" w:line="360" w:lineRule="auto"/>
        <w:jc w:val="center"/>
        <w:rPr>
          <w:rFonts w:ascii="宋体" w:hAnsi="宋体"/>
          <w:b/>
          <w:color w:val="000000"/>
          <w:szCs w:val="21"/>
        </w:rPr>
      </w:pPr>
      <w:r>
        <w:rPr>
          <w:rFonts w:ascii="宋体" w:hAnsi="宋体" w:hint="eastAsia"/>
          <w:b/>
          <w:color w:val="000000"/>
          <w:szCs w:val="21"/>
        </w:rPr>
        <w:t>2017年各院</w:t>
      </w:r>
      <w:proofErr w:type="gramStart"/>
      <w:r>
        <w:rPr>
          <w:rFonts w:ascii="宋体" w:hAnsi="宋体" w:hint="eastAsia"/>
          <w:b/>
          <w:color w:val="000000"/>
          <w:szCs w:val="21"/>
        </w:rPr>
        <w:t>区成本</w:t>
      </w:r>
      <w:proofErr w:type="gramEnd"/>
      <w:r>
        <w:rPr>
          <w:rFonts w:ascii="宋体" w:hAnsi="宋体" w:hint="eastAsia"/>
          <w:b/>
          <w:color w:val="000000"/>
          <w:szCs w:val="21"/>
        </w:rPr>
        <w:t>情况表</w:t>
      </w:r>
    </w:p>
    <w:p w:rsidR="002C02E6" w:rsidRDefault="00C917C2">
      <w:pPr>
        <w:ind w:left="420" w:right="720"/>
        <w:jc w:val="right"/>
        <w:rPr>
          <w:rFonts w:ascii="宋体"/>
          <w:sz w:val="18"/>
          <w:szCs w:val="18"/>
        </w:rPr>
      </w:pPr>
      <w:r>
        <w:rPr>
          <w:rFonts w:ascii="宋体" w:hint="eastAsia"/>
          <w:sz w:val="18"/>
          <w:szCs w:val="18"/>
        </w:rPr>
        <w:t>单位;万元</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835"/>
        <w:gridCol w:w="1835"/>
        <w:gridCol w:w="1835"/>
        <w:gridCol w:w="1835"/>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6425</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6519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-93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-1.43%</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4009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3214</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796</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24.76%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2313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1783</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529</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29.69%</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835"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12748</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11516</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1232</w:t>
            </w:r>
          </w:p>
        </w:tc>
        <w:tc>
          <w:tcPr>
            <w:tcW w:w="1835"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10.70%</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1"/>
          <w:szCs w:val="21"/>
        </w:rPr>
      </w:pPr>
      <w:r>
        <w:rPr>
          <w:noProof/>
        </w:rPr>
        <w:lastRenderedPageBreak/>
        <w:t xml:space="preserve"> </w:t>
      </w:r>
      <w:r>
        <w:rPr>
          <w:noProof/>
        </w:rPr>
        <w:drawing>
          <wp:inline distT="0" distB="0" distL="0" distR="0">
            <wp:extent cx="4951095" cy="3144520"/>
            <wp:effectExtent l="0" t="0" r="0" b="0"/>
            <wp:docPr id="15"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1095" cy="3144520"/>
                    </a:xfrm>
                    <a:prstGeom prst="rect">
                      <a:avLst/>
                    </a:prstGeom>
                    <a:noFill/>
                    <a:ln>
                      <a:noFill/>
                    </a:ln>
                  </pic:spPr>
                </pic:pic>
              </a:graphicData>
            </a:graphic>
          </wp:inline>
        </w:drawing>
      </w:r>
    </w:p>
    <w:p w:rsidR="002C02E6" w:rsidRDefault="00C917C2">
      <w:pPr>
        <w:pStyle w:val="4"/>
        <w:ind w:firstLine="482"/>
        <w:rPr>
          <w:rFonts w:ascii="宋体"/>
          <w:b/>
          <w:sz w:val="24"/>
        </w:rPr>
      </w:pPr>
      <w:bookmarkStart w:id="118" w:name="_Toc500143189"/>
      <w:r>
        <w:rPr>
          <w:rFonts w:ascii="宋体" w:hint="eastAsia"/>
          <w:b/>
          <w:sz w:val="24"/>
        </w:rPr>
        <w:t>(三) 收支结余</w:t>
      </w:r>
      <w:bookmarkEnd w:id="118"/>
    </w:p>
    <w:p w:rsidR="002C02E6" w:rsidRDefault="00C917C2">
      <w:pPr>
        <w:rPr>
          <w:rFonts w:ascii="宋体"/>
          <w:sz w:val="24"/>
        </w:rPr>
      </w:pPr>
      <w:r>
        <w:rPr>
          <w:rFonts w:ascii="宋体" w:hint="eastAsia"/>
          <w:sz w:val="24"/>
        </w:rPr>
        <w:t>1.收支结余</w:t>
      </w:r>
    </w:p>
    <w:p w:rsidR="002C02E6" w:rsidRDefault="00C917C2">
      <w:pPr>
        <w:spacing w:beforeLines="50" w:before="156" w:afterLines="50" w:after="156" w:line="360" w:lineRule="auto"/>
        <w:ind w:firstLine="420"/>
        <w:rPr>
          <w:rFonts w:ascii="宋体"/>
          <w:sz w:val="24"/>
        </w:rPr>
      </w:pPr>
      <w:r>
        <w:rPr>
          <w:rFonts w:ascii="宋体" w:hint="eastAsia"/>
          <w:sz w:val="24"/>
        </w:rPr>
        <w:t>2017年收支结余-8万元，较上年同期-96元增加88万元，增幅-91.78%。</w:t>
      </w:r>
    </w:p>
    <w:p w:rsidR="002C02E6" w:rsidRDefault="00C917C2">
      <w:pPr>
        <w:spacing w:beforeLines="50" w:before="156" w:afterLines="50" w:after="156" w:line="360" w:lineRule="auto"/>
        <w:ind w:firstLine="420"/>
        <w:jc w:val="center"/>
        <w:rPr>
          <w:rFonts w:ascii="宋体"/>
          <w:b/>
          <w:szCs w:val="21"/>
        </w:rPr>
      </w:pPr>
      <w:r>
        <w:rPr>
          <w:rFonts w:ascii="宋体" w:hAnsi="宋体" w:hint="eastAsia"/>
          <w:b/>
          <w:color w:val="000000"/>
          <w:szCs w:val="21"/>
        </w:rPr>
        <w:t>2017年</w:t>
      </w:r>
      <w:r>
        <w:rPr>
          <w:rFonts w:ascii="宋体" w:hint="eastAsia"/>
          <w:b/>
          <w:szCs w:val="21"/>
        </w:rPr>
        <w:t>收支结余情况表</w:t>
      </w:r>
    </w:p>
    <w:p w:rsidR="002C02E6" w:rsidRDefault="00C917C2">
      <w:pPr>
        <w:ind w:left="420" w:right="720"/>
        <w:jc w:val="right"/>
        <w:rPr>
          <w:rFonts w:ascii="宋体"/>
          <w:sz w:val="18"/>
          <w:szCs w:val="18"/>
        </w:rPr>
      </w:pPr>
      <w:r>
        <w:rPr>
          <w:rFonts w:ascii="宋体" w:hint="eastAsia"/>
          <w:sz w:val="18"/>
          <w:szCs w:val="18"/>
        </w:rPr>
        <w:t>单位;万元</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559"/>
        <w:gridCol w:w="1559"/>
        <w:gridCol w:w="1418"/>
        <w:gridCol w:w="1559"/>
        <w:gridCol w:w="1557"/>
      </w:tblGrid>
      <w:tr w:rsidR="002C02E6">
        <w:trPr>
          <w:cantSplit/>
          <w:trHeight w:val="687"/>
          <w:jc w:val="center"/>
        </w:trPr>
        <w:tc>
          <w:tcPr>
            <w:tcW w:w="1530"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项目名称</w:t>
            </w:r>
          </w:p>
        </w:tc>
        <w:tc>
          <w:tcPr>
            <w:tcW w:w="1559"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color w:val="000000"/>
                <w:spacing w:val="30"/>
                <w:sz w:val="18"/>
                <w:szCs w:val="18"/>
              </w:rPr>
              <w:t>2017年</w:t>
            </w:r>
          </w:p>
        </w:tc>
        <w:tc>
          <w:tcPr>
            <w:tcW w:w="1559"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上年同期</w:t>
            </w:r>
          </w:p>
        </w:tc>
        <w:tc>
          <w:tcPr>
            <w:tcW w:w="1418"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增长</w:t>
            </w:r>
          </w:p>
        </w:tc>
        <w:tc>
          <w:tcPr>
            <w:tcW w:w="1559"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增幅(%)</w:t>
            </w:r>
          </w:p>
        </w:tc>
        <w:tc>
          <w:tcPr>
            <w:tcW w:w="1557" w:type="dxa"/>
            <w:tcBorders>
              <w:top w:val="single" w:sz="4" w:space="0" w:color="auto"/>
              <w:left w:val="nil"/>
              <w:bottom w:val="single" w:sz="4" w:space="0" w:color="auto"/>
              <w:right w:val="nil"/>
            </w:tcBorders>
            <w:vAlign w:val="center"/>
          </w:tcPr>
          <w:p w:rsidR="002C02E6" w:rsidRDefault="00C917C2">
            <w:pPr>
              <w:jc w:val="center"/>
              <w:rPr>
                <w:rFonts w:ascii="宋体" w:hAnsi="宋体"/>
                <w:spacing w:val="30"/>
                <w:sz w:val="18"/>
                <w:szCs w:val="18"/>
              </w:rPr>
            </w:pPr>
            <w:r>
              <w:rPr>
                <w:rFonts w:ascii="宋体" w:hAnsi="宋体" w:hint="eastAsia"/>
                <w:spacing w:val="30"/>
                <w:sz w:val="18"/>
                <w:szCs w:val="18"/>
              </w:rPr>
              <w:t>收支结余率</w:t>
            </w:r>
          </w:p>
        </w:tc>
      </w:tr>
      <w:tr w:rsidR="002C02E6">
        <w:trPr>
          <w:cantSplit/>
          <w:jc w:val="center"/>
        </w:trPr>
        <w:tc>
          <w:tcPr>
            <w:tcW w:w="1530"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收支结余</w:t>
            </w:r>
          </w:p>
        </w:tc>
        <w:tc>
          <w:tcPr>
            <w:tcW w:w="1559"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-8</w:t>
            </w:r>
          </w:p>
        </w:tc>
        <w:tc>
          <w:tcPr>
            <w:tcW w:w="1559"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-96</w:t>
            </w:r>
          </w:p>
        </w:tc>
        <w:tc>
          <w:tcPr>
            <w:tcW w:w="1418"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88</w:t>
            </w:r>
          </w:p>
        </w:tc>
        <w:tc>
          <w:tcPr>
            <w:tcW w:w="1559"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-91.78%</w:t>
            </w:r>
          </w:p>
        </w:tc>
        <w:tc>
          <w:tcPr>
            <w:tcW w:w="1557" w:type="dxa"/>
            <w:tcBorders>
              <w:top w:val="single" w:sz="4" w:space="0" w:color="auto"/>
              <w:left w:val="nil"/>
              <w:bottom w:val="nil"/>
              <w:right w:val="nil"/>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-0.1%</w:t>
            </w:r>
          </w:p>
        </w:tc>
      </w:tr>
      <w:tr w:rsidR="002C02E6">
        <w:trPr>
          <w:cantSplit/>
          <w:jc w:val="center"/>
        </w:trPr>
        <w:tc>
          <w:tcPr>
            <w:tcW w:w="1530"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c>
          <w:tcPr>
            <w:tcW w:w="1559"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c>
          <w:tcPr>
            <w:tcW w:w="1559"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c>
          <w:tcPr>
            <w:tcW w:w="1418"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c>
          <w:tcPr>
            <w:tcW w:w="1559"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c>
          <w:tcPr>
            <w:tcW w:w="1557" w:type="dxa"/>
            <w:tcBorders>
              <w:top w:val="nil"/>
              <w:left w:val="nil"/>
              <w:bottom w:val="single" w:sz="4" w:space="0" w:color="auto"/>
              <w:right w:val="nil"/>
            </w:tcBorders>
            <w:vAlign w:val="center"/>
          </w:tcPr>
          <w:p w:rsidR="002C02E6" w:rsidRDefault="002C02E6">
            <w:pPr>
              <w:jc w:val="center"/>
              <w:rPr>
                <w:rFonts w:ascii="宋体" w:hAnsi="宋体"/>
                <w:color w:val="000000"/>
                <w:spacing w:val="30"/>
                <w:sz w:val="18"/>
                <w:szCs w:val="18"/>
              </w:rPr>
            </w:pPr>
          </w:p>
        </w:tc>
      </w:tr>
    </w:tbl>
    <w:p w:rsidR="002C02E6" w:rsidRDefault="00C917C2">
      <w:pPr>
        <w:pStyle w:val="ac"/>
        <w:spacing w:beforeLines="50" w:before="156" w:afterLines="50" w:after="156"/>
        <w:ind w:firstLine="567"/>
        <w:outlineLvl w:val="9"/>
        <w:rPr>
          <w:rFonts w:ascii="宋体" w:hAnsi="Times New Roman"/>
          <w:b w:val="0"/>
          <w:bCs w:val="0"/>
          <w:sz w:val="21"/>
          <w:szCs w:val="21"/>
        </w:rPr>
      </w:pPr>
      <w:r>
        <w:rPr>
          <w:noProof/>
        </w:rPr>
        <w:t xml:space="preserve"> </w:t>
      </w:r>
      <w:r>
        <w:rPr>
          <w:noProof/>
        </w:rPr>
        <w:drawing>
          <wp:inline distT="0" distB="0" distL="0" distR="0">
            <wp:extent cx="4289425" cy="2668905"/>
            <wp:effectExtent l="0" t="0" r="0" b="0"/>
            <wp:docPr id="16"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rPr>
          <w:rFonts w:ascii="宋体"/>
          <w:sz w:val="24"/>
        </w:rPr>
      </w:pPr>
      <w:r>
        <w:rPr>
          <w:rFonts w:ascii="宋体" w:hint="eastAsia"/>
          <w:sz w:val="24"/>
        </w:rPr>
        <w:lastRenderedPageBreak/>
        <w:t>2.院区收支结余</w:t>
      </w:r>
    </w:p>
    <w:p w:rsidR="002C02E6" w:rsidRDefault="00C917C2">
      <w:pPr>
        <w:spacing w:beforeLines="50" w:before="156" w:afterLines="50" w:after="156" w:line="360" w:lineRule="auto"/>
        <w:ind w:firstLine="420"/>
        <w:jc w:val="center"/>
        <w:rPr>
          <w:rFonts w:ascii="宋体"/>
          <w:b/>
          <w:szCs w:val="21"/>
        </w:rPr>
      </w:pPr>
      <w:r>
        <w:rPr>
          <w:rFonts w:ascii="宋体" w:hAnsi="宋体" w:hint="eastAsia"/>
          <w:b/>
          <w:color w:val="000000"/>
          <w:szCs w:val="21"/>
        </w:rPr>
        <w:t>2017年</w:t>
      </w:r>
      <w:r>
        <w:rPr>
          <w:rFonts w:ascii="宋体" w:hint="eastAsia"/>
          <w:b/>
          <w:szCs w:val="21"/>
        </w:rPr>
        <w:t>院区收支结余情况表</w:t>
      </w:r>
    </w:p>
    <w:p w:rsidR="002C02E6" w:rsidRDefault="00C917C2">
      <w:pPr>
        <w:ind w:left="420" w:right="720"/>
        <w:jc w:val="right"/>
        <w:rPr>
          <w:sz w:val="18"/>
          <w:szCs w:val="18"/>
        </w:rPr>
      </w:pPr>
      <w:r>
        <w:rPr>
          <w:rFonts w:ascii="宋体" w:hint="eastAsia"/>
          <w:sz w:val="18"/>
          <w:szCs w:val="18"/>
        </w:rPr>
        <w:t>单位;万元</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529"/>
        <w:gridCol w:w="1529"/>
        <w:gridCol w:w="1529"/>
        <w:gridCol w:w="1529"/>
        <w:gridCol w:w="1529"/>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本期</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上年同期</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增长额</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增幅</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收支结余率</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-284</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-221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350.29%</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-7.2%</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130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78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60.51%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9.3%</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230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-141.66%</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6.1%</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-96</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88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-91.78%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-0.1%</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1"/>
          <w:szCs w:val="21"/>
        </w:rPr>
      </w:pPr>
      <w:r>
        <w:rPr>
          <w:noProof/>
        </w:rPr>
        <w:t xml:space="preserve"> </w:t>
      </w:r>
      <w:r>
        <w:rPr>
          <w:noProof/>
        </w:rPr>
        <w:drawing>
          <wp:inline distT="0" distB="0" distL="0" distR="0">
            <wp:extent cx="4951095" cy="3144520"/>
            <wp:effectExtent l="0" t="0" r="0" b="0"/>
            <wp:docPr id="17"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1095" cy="3144520"/>
                    </a:xfrm>
                    <a:prstGeom prst="rect">
                      <a:avLst/>
                    </a:prstGeom>
                    <a:noFill/>
                    <a:ln>
                      <a:noFill/>
                    </a:ln>
                  </pic:spPr>
                </pic:pic>
              </a:graphicData>
            </a:graphic>
          </wp:inline>
        </w:drawing>
      </w:r>
    </w:p>
    <w:p w:rsidR="002C02E6" w:rsidRDefault="00C917C2">
      <w:pPr>
        <w:pStyle w:val="3"/>
        <w:ind w:firstLine="482"/>
        <w:rPr>
          <w:rFonts w:ascii="宋体"/>
          <w:sz w:val="24"/>
        </w:rPr>
      </w:pPr>
      <w:bookmarkStart w:id="119" w:name="_Toc500143190"/>
      <w:bookmarkStart w:id="120" w:name="_Toc517177994"/>
      <w:r>
        <w:rPr>
          <w:rFonts w:ascii="宋体" w:hint="eastAsia"/>
          <w:sz w:val="24"/>
        </w:rPr>
        <w:t>三、</w:t>
      </w:r>
      <w:proofErr w:type="gramStart"/>
      <w:r>
        <w:rPr>
          <w:rFonts w:ascii="宋体" w:hint="eastAsia"/>
          <w:sz w:val="24"/>
        </w:rPr>
        <w:t>控费情况</w:t>
      </w:r>
      <w:bookmarkEnd w:id="119"/>
      <w:bookmarkEnd w:id="120"/>
      <w:proofErr w:type="gramEnd"/>
    </w:p>
    <w:p w:rsidR="002C02E6" w:rsidRDefault="00C917C2">
      <w:pPr>
        <w:pStyle w:val="4"/>
        <w:ind w:firstLine="482"/>
        <w:rPr>
          <w:rFonts w:ascii="宋体"/>
          <w:b/>
          <w:sz w:val="24"/>
        </w:rPr>
      </w:pPr>
      <w:bookmarkStart w:id="121" w:name="_Toc500143191"/>
      <w:r>
        <w:rPr>
          <w:rFonts w:ascii="宋体" w:hint="eastAsia"/>
          <w:b/>
          <w:sz w:val="24"/>
        </w:rPr>
        <w:t>(</w:t>
      </w:r>
      <w:proofErr w:type="gramStart"/>
      <w:r>
        <w:rPr>
          <w:rFonts w:ascii="宋体" w:hint="eastAsia"/>
          <w:b/>
          <w:sz w:val="24"/>
        </w:rPr>
        <w:t>一</w:t>
      </w:r>
      <w:proofErr w:type="gramEnd"/>
      <w:r>
        <w:rPr>
          <w:rFonts w:ascii="宋体" w:hint="eastAsia"/>
          <w:b/>
          <w:sz w:val="24"/>
        </w:rPr>
        <w:t>) 门诊</w:t>
      </w:r>
      <w:bookmarkEnd w:id="121"/>
    </w:p>
    <w:p w:rsidR="002C02E6" w:rsidRDefault="00C917C2">
      <w:pPr>
        <w:spacing w:beforeLines="50" w:before="156" w:afterLines="50" w:after="156" w:line="360" w:lineRule="auto"/>
        <w:ind w:firstLine="420"/>
        <w:rPr>
          <w:rFonts w:ascii="宋体"/>
          <w:sz w:val="24"/>
        </w:rPr>
      </w:pPr>
      <w:r>
        <w:rPr>
          <w:rFonts w:ascii="宋体" w:hint="eastAsia"/>
          <w:sz w:val="24"/>
        </w:rPr>
        <w:t>2017年每门诊人次费用392.61元，较上年同期增幅9.09%。</w:t>
      </w:r>
    </w:p>
    <w:p w:rsidR="002C02E6" w:rsidRDefault="00C917C2">
      <w:pPr>
        <w:jc w:val="center"/>
        <w:rPr>
          <w:rFonts w:ascii="宋体"/>
          <w:b/>
          <w:szCs w:val="21"/>
        </w:rPr>
      </w:pPr>
      <w:r>
        <w:rPr>
          <w:rFonts w:ascii="宋体" w:hint="eastAsia"/>
          <w:b/>
          <w:szCs w:val="21"/>
        </w:rPr>
        <w:t>2017年每门诊人次费用表</w:t>
      </w:r>
    </w:p>
    <w:tbl>
      <w:tblPr>
        <w:tblpPr w:leftFromText="180" w:rightFromText="180" w:vertAnchor="text" w:horzAnchor="margin" w:tblpXSpec="center" w:tblpY="213"/>
        <w:tblW w:w="9039" w:type="dxa"/>
        <w:tblLayout w:type="fixed"/>
        <w:tblLook w:val="0000" w:firstRow="0" w:lastRow="0" w:firstColumn="0" w:lastColumn="0" w:noHBand="0" w:noVBand="0"/>
      </w:tblPr>
      <w:tblGrid>
        <w:gridCol w:w="2694"/>
        <w:gridCol w:w="1809"/>
        <w:gridCol w:w="1559"/>
        <w:gridCol w:w="1626"/>
        <w:gridCol w:w="1351"/>
      </w:tblGrid>
      <w:tr w:rsidR="002C02E6">
        <w:trPr>
          <w:trHeight w:val="557"/>
        </w:trPr>
        <w:tc>
          <w:tcPr>
            <w:tcW w:w="2694"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bookmarkStart w:id="122" w:name="_Toc491609014"/>
            <w:r>
              <w:rPr>
                <w:rFonts w:ascii="宋体" w:hAnsi="宋体" w:hint="eastAsia"/>
                <w:color w:val="000000"/>
                <w:spacing w:val="30"/>
                <w:sz w:val="18"/>
                <w:szCs w:val="18"/>
              </w:rPr>
              <w:t>项目名称</w:t>
            </w:r>
            <w:bookmarkEnd w:id="122"/>
          </w:p>
        </w:tc>
        <w:tc>
          <w:tcPr>
            <w:tcW w:w="1809"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2017年</w:t>
            </w:r>
          </w:p>
        </w:tc>
        <w:tc>
          <w:tcPr>
            <w:tcW w:w="1559"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上年同期</w:t>
            </w:r>
          </w:p>
        </w:tc>
        <w:tc>
          <w:tcPr>
            <w:tcW w:w="1626"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bookmarkStart w:id="123" w:name="_Toc491609017"/>
            <w:r>
              <w:rPr>
                <w:rFonts w:ascii="宋体" w:hAnsi="宋体" w:hint="eastAsia"/>
                <w:color w:val="000000"/>
                <w:spacing w:val="30"/>
                <w:sz w:val="18"/>
                <w:szCs w:val="18"/>
              </w:rPr>
              <w:t>增长额</w:t>
            </w:r>
            <w:bookmarkEnd w:id="123"/>
          </w:p>
        </w:tc>
        <w:tc>
          <w:tcPr>
            <w:tcW w:w="1351"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bookmarkStart w:id="124" w:name="_Toc491609018"/>
            <w:r>
              <w:rPr>
                <w:rFonts w:ascii="宋体" w:hAnsi="宋体" w:hint="eastAsia"/>
                <w:color w:val="000000"/>
                <w:spacing w:val="30"/>
                <w:sz w:val="18"/>
                <w:szCs w:val="18"/>
              </w:rPr>
              <w:t>增幅(%)</w:t>
            </w:r>
            <w:bookmarkEnd w:id="124"/>
          </w:p>
        </w:tc>
      </w:tr>
      <w:tr w:rsidR="002C02E6">
        <w:tc>
          <w:tcPr>
            <w:tcW w:w="2694" w:type="dxa"/>
            <w:tcBorders>
              <w:top w:val="single" w:sz="4" w:space="0" w:color="auto"/>
            </w:tcBorders>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每门诊人次费用(元)</w:t>
            </w:r>
          </w:p>
        </w:tc>
        <w:tc>
          <w:tcPr>
            <w:tcW w:w="1809"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392.61</w:t>
            </w:r>
          </w:p>
        </w:tc>
        <w:tc>
          <w:tcPr>
            <w:tcW w:w="1559"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359.89</w:t>
            </w:r>
          </w:p>
        </w:tc>
        <w:tc>
          <w:tcPr>
            <w:tcW w:w="1626"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33</w:t>
            </w:r>
          </w:p>
        </w:tc>
        <w:tc>
          <w:tcPr>
            <w:tcW w:w="1351"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9.09%</w:t>
            </w:r>
          </w:p>
        </w:tc>
      </w:tr>
      <w:tr w:rsidR="002C02E6">
        <w:tc>
          <w:tcPr>
            <w:tcW w:w="2694" w:type="dxa"/>
            <w:vAlign w:val="center"/>
          </w:tcPr>
          <w:p w:rsidR="002C02E6" w:rsidRDefault="00C917C2">
            <w:pPr>
              <w:rPr>
                <w:rFonts w:ascii="宋体" w:hAnsi="宋体"/>
                <w:color w:val="000000"/>
                <w:spacing w:val="30"/>
                <w:sz w:val="18"/>
                <w:szCs w:val="18"/>
              </w:rPr>
            </w:pPr>
            <w:bookmarkStart w:id="125" w:name="_Toc491609024"/>
            <w:r>
              <w:rPr>
                <w:rFonts w:ascii="宋体" w:hAnsi="宋体" w:hint="eastAsia"/>
                <w:color w:val="000000"/>
                <w:spacing w:val="30"/>
                <w:sz w:val="18"/>
                <w:szCs w:val="18"/>
              </w:rPr>
              <w:lastRenderedPageBreak/>
              <w:t xml:space="preserve">  其中:药品费用(元)</w:t>
            </w:r>
            <w:bookmarkEnd w:id="125"/>
          </w:p>
        </w:tc>
        <w:tc>
          <w:tcPr>
            <w:tcW w:w="1809"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167.81</w:t>
            </w:r>
          </w:p>
        </w:tc>
        <w:tc>
          <w:tcPr>
            <w:tcW w:w="1559"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152.73</w:t>
            </w:r>
          </w:p>
        </w:tc>
        <w:tc>
          <w:tcPr>
            <w:tcW w:w="1626"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15</w:t>
            </w:r>
          </w:p>
        </w:tc>
        <w:tc>
          <w:tcPr>
            <w:tcW w:w="1351"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9.87%</w:t>
            </w:r>
          </w:p>
        </w:tc>
      </w:tr>
      <w:tr w:rsidR="002C02E6">
        <w:tc>
          <w:tcPr>
            <w:tcW w:w="2694" w:type="dxa"/>
            <w:vAlign w:val="center"/>
          </w:tcPr>
          <w:p w:rsidR="002C02E6" w:rsidRDefault="00C917C2">
            <w:pPr>
              <w:rPr>
                <w:rFonts w:ascii="宋体" w:hAnsi="宋体"/>
                <w:color w:val="000000"/>
                <w:spacing w:val="30"/>
                <w:sz w:val="18"/>
                <w:szCs w:val="18"/>
              </w:rPr>
            </w:pPr>
            <w:bookmarkStart w:id="126" w:name="_Toc491609029"/>
            <w:r>
              <w:rPr>
                <w:rFonts w:ascii="宋体" w:hAnsi="宋体" w:hint="eastAsia"/>
                <w:color w:val="000000"/>
                <w:spacing w:val="30"/>
                <w:sz w:val="18"/>
                <w:szCs w:val="18"/>
              </w:rPr>
              <w:t xml:space="preserve">      药品费用占比</w:t>
            </w:r>
            <w:bookmarkEnd w:id="126"/>
          </w:p>
        </w:tc>
        <w:tc>
          <w:tcPr>
            <w:tcW w:w="1809" w:type="dxa"/>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42.74%</w:t>
            </w:r>
          </w:p>
        </w:tc>
        <w:tc>
          <w:tcPr>
            <w:tcW w:w="1559" w:type="dxa"/>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42.44%</w:t>
            </w:r>
          </w:p>
        </w:tc>
        <w:tc>
          <w:tcPr>
            <w:tcW w:w="1626" w:type="dxa"/>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0.30%</w:t>
            </w:r>
          </w:p>
        </w:tc>
        <w:tc>
          <w:tcPr>
            <w:tcW w:w="1351" w:type="dxa"/>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0.71%</w:t>
            </w:r>
          </w:p>
        </w:tc>
      </w:tr>
      <w:tr w:rsidR="002C02E6">
        <w:tc>
          <w:tcPr>
            <w:tcW w:w="2694" w:type="dxa"/>
            <w:vAlign w:val="center"/>
          </w:tcPr>
          <w:p w:rsidR="002C02E6" w:rsidRDefault="00C917C2">
            <w:pPr>
              <w:jc w:val="right"/>
              <w:rPr>
                <w:rFonts w:ascii="宋体" w:hAnsi="宋体"/>
                <w:color w:val="000000"/>
                <w:spacing w:val="30"/>
                <w:sz w:val="18"/>
                <w:szCs w:val="18"/>
              </w:rPr>
            </w:pPr>
            <w:bookmarkStart w:id="127" w:name="_Toc491609049"/>
            <w:r>
              <w:rPr>
                <w:rFonts w:ascii="宋体" w:hAnsi="宋体" w:hint="eastAsia"/>
                <w:color w:val="000000"/>
                <w:spacing w:val="30"/>
                <w:sz w:val="18"/>
                <w:szCs w:val="18"/>
              </w:rPr>
              <w:t>卫生材料费</w:t>
            </w:r>
            <w:r>
              <w:rPr>
                <w:rFonts w:ascii="宋体" w:cs="宋体" w:hint="eastAsia"/>
                <w:spacing w:val="30"/>
                <w:kern w:val="0"/>
                <w:sz w:val="18"/>
                <w:szCs w:val="18"/>
                <w:lang w:val="zh-CN"/>
              </w:rPr>
              <w:t>(</w:t>
            </w:r>
            <w:r>
              <w:rPr>
                <w:rFonts w:ascii="宋体" w:hAnsi="宋体" w:hint="eastAsia"/>
                <w:color w:val="000000"/>
                <w:spacing w:val="30"/>
                <w:sz w:val="18"/>
                <w:szCs w:val="18"/>
              </w:rPr>
              <w:t>元)</w:t>
            </w:r>
            <w:bookmarkEnd w:id="127"/>
          </w:p>
        </w:tc>
        <w:tc>
          <w:tcPr>
            <w:tcW w:w="1809" w:type="dxa"/>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8.92</w:t>
            </w:r>
          </w:p>
        </w:tc>
        <w:tc>
          <w:tcPr>
            <w:tcW w:w="1559"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13.55</w:t>
            </w:r>
          </w:p>
        </w:tc>
        <w:tc>
          <w:tcPr>
            <w:tcW w:w="1626"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-4.63</w:t>
            </w:r>
          </w:p>
        </w:tc>
        <w:tc>
          <w:tcPr>
            <w:tcW w:w="1351"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-34.17%</w:t>
            </w:r>
          </w:p>
        </w:tc>
      </w:tr>
      <w:tr w:rsidR="002C02E6">
        <w:tc>
          <w:tcPr>
            <w:tcW w:w="2694" w:type="dxa"/>
            <w:tcBorders>
              <w:bottom w:val="single" w:sz="4" w:space="0" w:color="auto"/>
            </w:tcBorders>
            <w:vAlign w:val="center"/>
          </w:tcPr>
          <w:p w:rsidR="002C02E6" w:rsidRDefault="00C917C2">
            <w:pPr>
              <w:jc w:val="right"/>
              <w:rPr>
                <w:rFonts w:ascii="宋体" w:hAnsi="宋体"/>
                <w:color w:val="000000"/>
                <w:spacing w:val="30"/>
                <w:sz w:val="18"/>
                <w:szCs w:val="18"/>
              </w:rPr>
            </w:pPr>
            <w:bookmarkStart w:id="128" w:name="_Toc491609054"/>
            <w:r>
              <w:rPr>
                <w:rFonts w:ascii="宋体" w:hAnsi="宋体" w:hint="eastAsia"/>
                <w:color w:val="000000"/>
                <w:spacing w:val="30"/>
                <w:sz w:val="18"/>
                <w:szCs w:val="18"/>
              </w:rPr>
              <w:t xml:space="preserve"> 卫生材料费占比(%)</w:t>
            </w:r>
            <w:bookmarkEnd w:id="128"/>
          </w:p>
        </w:tc>
        <w:tc>
          <w:tcPr>
            <w:tcW w:w="1809"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2.27%</w:t>
            </w:r>
          </w:p>
        </w:tc>
        <w:tc>
          <w:tcPr>
            <w:tcW w:w="1559"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3.77%</w:t>
            </w:r>
          </w:p>
        </w:tc>
        <w:tc>
          <w:tcPr>
            <w:tcW w:w="1626"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-1.50%</w:t>
            </w:r>
          </w:p>
        </w:tc>
        <w:tc>
          <w:tcPr>
            <w:tcW w:w="1351"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-39.79%</w:t>
            </w:r>
          </w:p>
        </w:tc>
      </w:tr>
    </w:tbl>
    <w:p w:rsidR="002C02E6" w:rsidRDefault="002C02E6">
      <w:pPr>
        <w:jc w:val="center"/>
        <w:rPr>
          <w:rFonts w:ascii="宋体"/>
          <w:sz w:val="24"/>
        </w:rPr>
      </w:pPr>
    </w:p>
    <w:p w:rsidR="002C02E6" w:rsidRDefault="00C917C2">
      <w:pPr>
        <w:jc w:val="center"/>
        <w:rPr>
          <w:rFonts w:ascii="宋体"/>
          <w:b/>
          <w:szCs w:val="21"/>
        </w:rPr>
      </w:pPr>
      <w:r>
        <w:rPr>
          <w:rFonts w:ascii="宋体" w:hint="eastAsia"/>
          <w:b/>
          <w:szCs w:val="21"/>
        </w:rPr>
        <w:t>2017年各院区每门诊人次费用表</w:t>
      </w:r>
    </w:p>
    <w:p w:rsidR="002C02E6" w:rsidRDefault="002C02E6">
      <w:pPr>
        <w:jc w:val="center"/>
      </w:pP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529"/>
        <w:gridCol w:w="1529"/>
        <w:gridCol w:w="1529"/>
        <w:gridCol w:w="1529"/>
        <w:gridCol w:w="1529"/>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每门诊人次费用(元)</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其中:药品费(元)</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药品费占比</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材料费(元)</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材料费占比</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409.34</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170.01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41.53%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9.99</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2.44%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393.77</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154.53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39.24%</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9.62</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2.44%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361.1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181.45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50.25%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6.07</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1.68%</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392.61</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167.81</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42.74%</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8.92</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2.27%</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1"/>
          <w:szCs w:val="21"/>
        </w:rPr>
      </w:pPr>
      <w:r>
        <w:rPr>
          <w:noProof/>
        </w:rPr>
        <w:t xml:space="preserve"> </w:t>
      </w:r>
      <w:r>
        <w:rPr>
          <w:noProof/>
        </w:rPr>
        <w:drawing>
          <wp:inline distT="0" distB="0" distL="0" distR="0">
            <wp:extent cx="4765040" cy="2854960"/>
            <wp:effectExtent l="0" t="0" r="0" b="0"/>
            <wp:docPr id="18"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5040" cy="2854960"/>
                    </a:xfrm>
                    <a:prstGeom prst="rect">
                      <a:avLst/>
                    </a:prstGeom>
                    <a:noFill/>
                    <a:ln>
                      <a:noFill/>
                    </a:ln>
                  </pic:spPr>
                </pic:pic>
              </a:graphicData>
            </a:graphic>
          </wp:inline>
        </w:drawing>
      </w:r>
    </w:p>
    <w:p w:rsidR="002C02E6" w:rsidRDefault="00C917C2">
      <w:pPr>
        <w:pStyle w:val="4"/>
        <w:ind w:firstLine="482"/>
        <w:rPr>
          <w:rFonts w:ascii="宋体"/>
          <w:b/>
          <w:sz w:val="24"/>
        </w:rPr>
      </w:pPr>
      <w:bookmarkStart w:id="129" w:name="_Toc500143192"/>
      <w:r>
        <w:rPr>
          <w:rFonts w:ascii="宋体" w:hint="eastAsia"/>
          <w:b/>
          <w:sz w:val="24"/>
        </w:rPr>
        <w:t>(二) 住院</w:t>
      </w:r>
      <w:bookmarkEnd w:id="129"/>
    </w:p>
    <w:p w:rsidR="002C02E6" w:rsidRDefault="00C917C2">
      <w:pPr>
        <w:rPr>
          <w:rFonts w:ascii="宋体"/>
          <w:b/>
          <w:sz w:val="24"/>
        </w:rPr>
      </w:pPr>
      <w:r>
        <w:rPr>
          <w:rFonts w:ascii="宋体" w:hint="eastAsia"/>
          <w:b/>
          <w:sz w:val="24"/>
        </w:rPr>
        <w:t>1.每床日费用</w:t>
      </w:r>
    </w:p>
    <w:p w:rsidR="002C02E6" w:rsidRDefault="00C917C2">
      <w:pPr>
        <w:spacing w:beforeLines="50" w:before="156" w:afterLines="50" w:after="156" w:line="360" w:lineRule="auto"/>
        <w:ind w:firstLine="420"/>
        <w:rPr>
          <w:rFonts w:ascii="宋体"/>
          <w:sz w:val="24"/>
        </w:rPr>
      </w:pPr>
      <w:r>
        <w:rPr>
          <w:rFonts w:ascii="宋体" w:hint="eastAsia"/>
          <w:sz w:val="24"/>
        </w:rPr>
        <w:t>2017年每床</w:t>
      </w:r>
      <w:proofErr w:type="gramStart"/>
      <w:r>
        <w:rPr>
          <w:rFonts w:ascii="宋体" w:hint="eastAsia"/>
          <w:sz w:val="24"/>
        </w:rPr>
        <w:t>日费用</w:t>
      </w:r>
      <w:proofErr w:type="gramEnd"/>
      <w:r>
        <w:rPr>
          <w:rFonts w:ascii="宋体" w:hint="eastAsia"/>
          <w:sz w:val="24"/>
        </w:rPr>
        <w:t>1851.59元，较上年同期增幅-3.15%。</w:t>
      </w:r>
    </w:p>
    <w:p w:rsidR="002C02E6" w:rsidRDefault="00C917C2">
      <w:pPr>
        <w:spacing w:beforeLines="50" w:before="156" w:afterLines="50" w:after="156" w:line="360" w:lineRule="auto"/>
        <w:ind w:firstLine="420"/>
        <w:jc w:val="center"/>
        <w:rPr>
          <w:rFonts w:ascii="宋体"/>
          <w:b/>
          <w:szCs w:val="21"/>
        </w:rPr>
      </w:pPr>
      <w:r>
        <w:rPr>
          <w:rFonts w:ascii="宋体" w:hint="eastAsia"/>
          <w:b/>
          <w:szCs w:val="21"/>
        </w:rPr>
        <w:t>2017年每床</w:t>
      </w:r>
      <w:proofErr w:type="gramStart"/>
      <w:r>
        <w:rPr>
          <w:rFonts w:ascii="宋体" w:hint="eastAsia"/>
          <w:b/>
          <w:szCs w:val="21"/>
        </w:rPr>
        <w:t>日费用</w:t>
      </w:r>
      <w:proofErr w:type="gramEnd"/>
      <w:r>
        <w:rPr>
          <w:rFonts w:ascii="宋体" w:hint="eastAsia"/>
          <w:b/>
          <w:szCs w:val="21"/>
        </w:rPr>
        <w:t>表</w:t>
      </w:r>
    </w:p>
    <w:tbl>
      <w:tblPr>
        <w:tblpPr w:leftFromText="180" w:rightFromText="180" w:vertAnchor="text" w:horzAnchor="margin" w:tblpXSpec="center" w:tblpY="213"/>
        <w:tblW w:w="9180" w:type="dxa"/>
        <w:tblLayout w:type="fixed"/>
        <w:tblLook w:val="0000" w:firstRow="0" w:lastRow="0" w:firstColumn="0" w:lastColumn="0" w:noHBand="0" w:noVBand="0"/>
      </w:tblPr>
      <w:tblGrid>
        <w:gridCol w:w="3227"/>
        <w:gridCol w:w="1701"/>
        <w:gridCol w:w="1451"/>
        <w:gridCol w:w="1384"/>
        <w:gridCol w:w="1417"/>
      </w:tblGrid>
      <w:tr w:rsidR="002C02E6">
        <w:trPr>
          <w:trHeight w:val="557"/>
        </w:trPr>
        <w:tc>
          <w:tcPr>
            <w:tcW w:w="3227"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lastRenderedPageBreak/>
              <w:t>项目名称</w:t>
            </w:r>
          </w:p>
        </w:tc>
        <w:tc>
          <w:tcPr>
            <w:tcW w:w="1701"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2017年</w:t>
            </w:r>
          </w:p>
        </w:tc>
        <w:tc>
          <w:tcPr>
            <w:tcW w:w="1451"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上年同期</w:t>
            </w:r>
          </w:p>
        </w:tc>
        <w:tc>
          <w:tcPr>
            <w:tcW w:w="1384"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增长额</w:t>
            </w:r>
          </w:p>
        </w:tc>
        <w:tc>
          <w:tcPr>
            <w:tcW w:w="1417"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增长率(%)</w:t>
            </w:r>
          </w:p>
        </w:tc>
      </w:tr>
      <w:tr w:rsidR="002C02E6">
        <w:tc>
          <w:tcPr>
            <w:tcW w:w="3227" w:type="dxa"/>
            <w:tcBorders>
              <w:top w:val="single" w:sz="4" w:space="0" w:color="auto"/>
            </w:tcBorders>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每床</w:t>
            </w:r>
            <w:proofErr w:type="gramStart"/>
            <w:r>
              <w:rPr>
                <w:rFonts w:ascii="宋体" w:hAnsi="宋体" w:hint="eastAsia"/>
                <w:color w:val="000000"/>
                <w:spacing w:val="30"/>
                <w:sz w:val="18"/>
                <w:szCs w:val="18"/>
              </w:rPr>
              <w:t>日费用</w:t>
            </w:r>
            <w:proofErr w:type="gramEnd"/>
            <w:r>
              <w:rPr>
                <w:rFonts w:ascii="宋体" w:hAnsi="宋体" w:hint="eastAsia"/>
                <w:color w:val="000000"/>
                <w:spacing w:val="30"/>
                <w:sz w:val="18"/>
                <w:szCs w:val="18"/>
              </w:rPr>
              <w:t>(元)</w:t>
            </w:r>
          </w:p>
        </w:tc>
        <w:tc>
          <w:tcPr>
            <w:tcW w:w="1701"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1851.59</w:t>
            </w:r>
          </w:p>
        </w:tc>
        <w:tc>
          <w:tcPr>
            <w:tcW w:w="1451"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1911.78</w:t>
            </w:r>
          </w:p>
        </w:tc>
        <w:tc>
          <w:tcPr>
            <w:tcW w:w="1384"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-60.19</w:t>
            </w:r>
          </w:p>
        </w:tc>
        <w:tc>
          <w:tcPr>
            <w:tcW w:w="1417"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-3.15%</w:t>
            </w:r>
          </w:p>
        </w:tc>
      </w:tr>
      <w:tr w:rsidR="002C02E6">
        <w:tc>
          <w:tcPr>
            <w:tcW w:w="3227" w:type="dxa"/>
            <w:vAlign w:val="center"/>
          </w:tcPr>
          <w:p w:rsidR="002C02E6" w:rsidRDefault="00C917C2">
            <w:pPr>
              <w:rPr>
                <w:rFonts w:ascii="宋体" w:hAnsi="宋体"/>
                <w:color w:val="000000"/>
                <w:spacing w:val="30"/>
                <w:sz w:val="18"/>
                <w:szCs w:val="18"/>
              </w:rPr>
            </w:pPr>
            <w:r>
              <w:rPr>
                <w:rFonts w:ascii="宋体" w:cs="宋体" w:hint="eastAsia"/>
                <w:spacing w:val="30"/>
                <w:kern w:val="0"/>
                <w:sz w:val="18"/>
                <w:szCs w:val="18"/>
                <w:lang w:val="zh-CN"/>
              </w:rPr>
              <w:t xml:space="preserve">    其中:药品费用(</w:t>
            </w:r>
            <w:r>
              <w:rPr>
                <w:rFonts w:ascii="宋体" w:hAnsi="宋体" w:hint="eastAsia"/>
                <w:color w:val="000000"/>
                <w:spacing w:val="30"/>
                <w:sz w:val="18"/>
                <w:szCs w:val="18"/>
              </w:rPr>
              <w:t>元)</w:t>
            </w:r>
          </w:p>
        </w:tc>
        <w:tc>
          <w:tcPr>
            <w:tcW w:w="1701"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416.25</w:t>
            </w:r>
          </w:p>
        </w:tc>
        <w:tc>
          <w:tcPr>
            <w:tcW w:w="1451"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543.22</w:t>
            </w:r>
          </w:p>
        </w:tc>
        <w:tc>
          <w:tcPr>
            <w:tcW w:w="1384"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-126.97</w:t>
            </w:r>
          </w:p>
        </w:tc>
        <w:tc>
          <w:tcPr>
            <w:tcW w:w="1417"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-23.37%</w:t>
            </w:r>
          </w:p>
        </w:tc>
      </w:tr>
      <w:tr w:rsidR="002C02E6">
        <w:tc>
          <w:tcPr>
            <w:tcW w:w="3227" w:type="dxa"/>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 xml:space="preserve">       药品费用占比(%)</w:t>
            </w:r>
          </w:p>
        </w:tc>
        <w:tc>
          <w:tcPr>
            <w:tcW w:w="1701"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22.48%</w:t>
            </w:r>
          </w:p>
        </w:tc>
        <w:tc>
          <w:tcPr>
            <w:tcW w:w="1451"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28.41%</w:t>
            </w:r>
          </w:p>
        </w:tc>
        <w:tc>
          <w:tcPr>
            <w:tcW w:w="1384"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-5.93%</w:t>
            </w:r>
          </w:p>
        </w:tc>
        <w:tc>
          <w:tcPr>
            <w:tcW w:w="1417"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-20.87%</w:t>
            </w:r>
          </w:p>
        </w:tc>
      </w:tr>
      <w:tr w:rsidR="002C02E6">
        <w:tc>
          <w:tcPr>
            <w:tcW w:w="3227"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 xml:space="preserve">   卫生材料费</w:t>
            </w:r>
            <w:r>
              <w:rPr>
                <w:rFonts w:ascii="宋体" w:cs="宋体" w:hint="eastAsia"/>
                <w:spacing w:val="30"/>
                <w:kern w:val="0"/>
                <w:sz w:val="18"/>
                <w:szCs w:val="18"/>
                <w:lang w:val="zh-CN"/>
              </w:rPr>
              <w:t>(</w:t>
            </w:r>
            <w:r>
              <w:rPr>
                <w:rFonts w:ascii="宋体" w:hAnsi="宋体" w:hint="eastAsia"/>
                <w:color w:val="000000"/>
                <w:spacing w:val="30"/>
                <w:sz w:val="18"/>
                <w:szCs w:val="18"/>
              </w:rPr>
              <w:t>元)</w:t>
            </w:r>
          </w:p>
        </w:tc>
        <w:tc>
          <w:tcPr>
            <w:tcW w:w="1701" w:type="dxa"/>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490.69</w:t>
            </w:r>
          </w:p>
        </w:tc>
        <w:tc>
          <w:tcPr>
            <w:tcW w:w="1451"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487.6</w:t>
            </w:r>
          </w:p>
        </w:tc>
        <w:tc>
          <w:tcPr>
            <w:tcW w:w="1384"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3.09</w:t>
            </w:r>
          </w:p>
        </w:tc>
        <w:tc>
          <w:tcPr>
            <w:tcW w:w="1417"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0.63%</w:t>
            </w:r>
          </w:p>
        </w:tc>
      </w:tr>
      <w:tr w:rsidR="002C02E6">
        <w:tc>
          <w:tcPr>
            <w:tcW w:w="3227" w:type="dxa"/>
            <w:tcBorders>
              <w:bottom w:val="single" w:sz="4" w:space="0" w:color="auto"/>
            </w:tcBorders>
            <w:vAlign w:val="center"/>
          </w:tcPr>
          <w:p w:rsidR="002C02E6" w:rsidRDefault="00C917C2">
            <w:pPr>
              <w:ind w:right="120"/>
              <w:jc w:val="right"/>
              <w:rPr>
                <w:rFonts w:ascii="宋体" w:hAnsi="宋体"/>
                <w:color w:val="000000"/>
                <w:spacing w:val="30"/>
                <w:sz w:val="18"/>
                <w:szCs w:val="18"/>
              </w:rPr>
            </w:pPr>
            <w:r>
              <w:rPr>
                <w:rFonts w:ascii="宋体" w:hAnsi="宋体" w:hint="eastAsia"/>
                <w:color w:val="000000"/>
                <w:spacing w:val="30"/>
                <w:sz w:val="18"/>
                <w:szCs w:val="18"/>
              </w:rPr>
              <w:t>卫生材料费占比(%)</w:t>
            </w:r>
          </w:p>
        </w:tc>
        <w:tc>
          <w:tcPr>
            <w:tcW w:w="1701"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26.50%</w:t>
            </w:r>
          </w:p>
        </w:tc>
        <w:tc>
          <w:tcPr>
            <w:tcW w:w="1451"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25.51%</w:t>
            </w:r>
          </w:p>
        </w:tc>
        <w:tc>
          <w:tcPr>
            <w:tcW w:w="1384"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0.99%</w:t>
            </w:r>
          </w:p>
        </w:tc>
        <w:tc>
          <w:tcPr>
            <w:tcW w:w="1417"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3.88%</w:t>
            </w:r>
          </w:p>
        </w:tc>
      </w:tr>
    </w:tbl>
    <w:p w:rsidR="002C02E6" w:rsidRDefault="002C02E6">
      <w:pPr>
        <w:spacing w:beforeLines="50" w:before="156" w:afterLines="50" w:after="156"/>
        <w:jc w:val="center"/>
        <w:rPr>
          <w:rFonts w:ascii="宋体"/>
          <w:b/>
          <w:szCs w:val="21"/>
        </w:rPr>
      </w:pPr>
    </w:p>
    <w:p w:rsidR="002C02E6" w:rsidRDefault="00C917C2">
      <w:pPr>
        <w:spacing w:beforeLines="50" w:before="156" w:afterLines="50" w:after="156"/>
        <w:jc w:val="center"/>
        <w:rPr>
          <w:b/>
          <w:szCs w:val="21"/>
        </w:rPr>
      </w:pPr>
      <w:r>
        <w:rPr>
          <w:rFonts w:ascii="宋体" w:hint="eastAsia"/>
          <w:b/>
          <w:szCs w:val="21"/>
        </w:rPr>
        <w:t>2017年各院区每床</w:t>
      </w:r>
      <w:proofErr w:type="gramStart"/>
      <w:r>
        <w:rPr>
          <w:rFonts w:ascii="宋体" w:hint="eastAsia"/>
          <w:b/>
          <w:szCs w:val="21"/>
        </w:rPr>
        <w:t>日费用</w:t>
      </w:r>
      <w:proofErr w:type="gramEnd"/>
      <w:r>
        <w:rPr>
          <w:rFonts w:ascii="宋体" w:hint="eastAsia"/>
          <w:b/>
          <w:szCs w:val="21"/>
        </w:rPr>
        <w:t>表</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529"/>
        <w:gridCol w:w="1529"/>
        <w:gridCol w:w="1529"/>
        <w:gridCol w:w="1529"/>
        <w:gridCol w:w="1529"/>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每床</w:t>
            </w:r>
            <w:proofErr w:type="gramStart"/>
            <w:r>
              <w:rPr>
                <w:rFonts w:ascii="宋体" w:hAnsi="Times New Roman" w:hint="eastAsia"/>
                <w:b w:val="0"/>
                <w:bCs w:val="0"/>
                <w:sz w:val="18"/>
                <w:szCs w:val="18"/>
              </w:rPr>
              <w:t>日费用</w:t>
            </w:r>
            <w:proofErr w:type="gramEnd"/>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其中:药品费</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药品费占比</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材料费(元)</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材料费占比</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2143.01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441.73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20.61%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674.2</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31.46%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1468.65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388.88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26.48%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311.89</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21.24%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2018.08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415.28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20.58%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437.44</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21.68%</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1851.59</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416.25</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22.48%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490.69</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26.50%</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1"/>
          <w:szCs w:val="21"/>
        </w:rPr>
      </w:pPr>
      <w:r>
        <w:rPr>
          <w:noProof/>
        </w:rPr>
        <w:t xml:space="preserve"> </w:t>
      </w:r>
      <w:r>
        <w:rPr>
          <w:noProof/>
        </w:rPr>
        <w:drawing>
          <wp:inline distT="0" distB="0" distL="0" distR="0">
            <wp:extent cx="4765040" cy="2854960"/>
            <wp:effectExtent l="0" t="0" r="0" b="0"/>
            <wp:docPr id="1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5040" cy="2854960"/>
                    </a:xfrm>
                    <a:prstGeom prst="rect">
                      <a:avLst/>
                    </a:prstGeom>
                    <a:noFill/>
                    <a:ln>
                      <a:noFill/>
                    </a:ln>
                  </pic:spPr>
                </pic:pic>
              </a:graphicData>
            </a:graphic>
          </wp:inline>
        </w:drawing>
      </w:r>
    </w:p>
    <w:p w:rsidR="002C02E6" w:rsidRDefault="00C917C2">
      <w:pPr>
        <w:rPr>
          <w:rFonts w:ascii="宋体"/>
          <w:b/>
          <w:sz w:val="24"/>
        </w:rPr>
      </w:pPr>
      <w:r>
        <w:rPr>
          <w:rFonts w:ascii="宋体" w:hint="eastAsia"/>
          <w:b/>
          <w:sz w:val="24"/>
        </w:rPr>
        <w:t>2.每住院人次费用</w:t>
      </w:r>
    </w:p>
    <w:p w:rsidR="002C02E6" w:rsidRDefault="00C917C2">
      <w:pPr>
        <w:spacing w:beforeLines="50" w:before="156" w:afterLines="50" w:after="156" w:line="360" w:lineRule="auto"/>
        <w:ind w:firstLine="420"/>
        <w:rPr>
          <w:rFonts w:ascii="宋体"/>
          <w:sz w:val="24"/>
        </w:rPr>
      </w:pPr>
      <w:r>
        <w:rPr>
          <w:rFonts w:ascii="宋体" w:hint="eastAsia"/>
          <w:sz w:val="24"/>
        </w:rPr>
        <w:t>2017年每住院人次费用13469.48元，较上年同期增幅-11.44%。</w:t>
      </w:r>
    </w:p>
    <w:p w:rsidR="002C02E6" w:rsidRDefault="00C917C2">
      <w:pPr>
        <w:spacing w:beforeLines="50" w:before="156" w:afterLines="50" w:after="156"/>
        <w:jc w:val="center"/>
        <w:rPr>
          <w:rFonts w:ascii="宋体"/>
          <w:b/>
          <w:szCs w:val="21"/>
        </w:rPr>
      </w:pPr>
      <w:r>
        <w:rPr>
          <w:rFonts w:ascii="宋体" w:hint="eastAsia"/>
          <w:b/>
          <w:szCs w:val="21"/>
        </w:rPr>
        <w:t>2017年每住院人次费用表</w:t>
      </w:r>
    </w:p>
    <w:tbl>
      <w:tblPr>
        <w:tblpPr w:leftFromText="180" w:rightFromText="180" w:vertAnchor="text" w:horzAnchor="margin" w:tblpXSpec="center" w:tblpY="213"/>
        <w:tblW w:w="9174" w:type="dxa"/>
        <w:tblLayout w:type="fixed"/>
        <w:tblLook w:val="0000" w:firstRow="0" w:lastRow="0" w:firstColumn="0" w:lastColumn="0" w:noHBand="0" w:noVBand="0"/>
      </w:tblPr>
      <w:tblGrid>
        <w:gridCol w:w="3131"/>
        <w:gridCol w:w="1616"/>
        <w:gridCol w:w="1550"/>
        <w:gridCol w:w="1438"/>
        <w:gridCol w:w="1439"/>
      </w:tblGrid>
      <w:tr w:rsidR="002C02E6">
        <w:trPr>
          <w:trHeight w:val="557"/>
        </w:trPr>
        <w:tc>
          <w:tcPr>
            <w:tcW w:w="3131"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lastRenderedPageBreak/>
              <w:t>项目名称</w:t>
            </w:r>
          </w:p>
        </w:tc>
        <w:tc>
          <w:tcPr>
            <w:tcW w:w="1616"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2017年</w:t>
            </w:r>
          </w:p>
        </w:tc>
        <w:tc>
          <w:tcPr>
            <w:tcW w:w="1550"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上年同期</w:t>
            </w:r>
          </w:p>
        </w:tc>
        <w:tc>
          <w:tcPr>
            <w:tcW w:w="1438"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增长额</w:t>
            </w:r>
          </w:p>
        </w:tc>
        <w:tc>
          <w:tcPr>
            <w:tcW w:w="1439"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增幅(%)</w:t>
            </w:r>
          </w:p>
        </w:tc>
      </w:tr>
      <w:tr w:rsidR="002C02E6">
        <w:tc>
          <w:tcPr>
            <w:tcW w:w="3131" w:type="dxa"/>
            <w:tcBorders>
              <w:top w:val="single" w:sz="4" w:space="0" w:color="auto"/>
            </w:tcBorders>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每住院人次收费(元)</w:t>
            </w:r>
          </w:p>
        </w:tc>
        <w:tc>
          <w:tcPr>
            <w:tcW w:w="1616"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13469.48</w:t>
            </w:r>
          </w:p>
        </w:tc>
        <w:tc>
          <w:tcPr>
            <w:tcW w:w="1550"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15209.09</w:t>
            </w:r>
          </w:p>
        </w:tc>
        <w:tc>
          <w:tcPr>
            <w:tcW w:w="1438"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-1739.61</w:t>
            </w:r>
          </w:p>
        </w:tc>
        <w:tc>
          <w:tcPr>
            <w:tcW w:w="1439" w:type="dxa"/>
            <w:tcBorders>
              <w:top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-11.44%</w:t>
            </w:r>
          </w:p>
        </w:tc>
      </w:tr>
      <w:tr w:rsidR="002C02E6">
        <w:tc>
          <w:tcPr>
            <w:tcW w:w="3131" w:type="dxa"/>
            <w:vAlign w:val="center"/>
          </w:tcPr>
          <w:p w:rsidR="002C02E6" w:rsidRDefault="00C917C2">
            <w:pPr>
              <w:rPr>
                <w:rFonts w:ascii="宋体" w:hAnsi="宋体"/>
                <w:color w:val="000000"/>
                <w:spacing w:val="30"/>
                <w:sz w:val="18"/>
                <w:szCs w:val="18"/>
              </w:rPr>
            </w:pPr>
            <w:r>
              <w:rPr>
                <w:rFonts w:ascii="宋体" w:cs="宋体" w:hint="eastAsia"/>
                <w:spacing w:val="30"/>
                <w:kern w:val="0"/>
                <w:sz w:val="18"/>
                <w:szCs w:val="18"/>
                <w:lang w:val="zh-CN"/>
              </w:rPr>
              <w:t xml:space="preserve">    其中:药品费用(</w:t>
            </w:r>
            <w:r>
              <w:rPr>
                <w:rFonts w:ascii="宋体" w:hAnsi="宋体" w:hint="eastAsia"/>
                <w:color w:val="000000"/>
                <w:spacing w:val="30"/>
                <w:sz w:val="18"/>
                <w:szCs w:val="18"/>
              </w:rPr>
              <w:t>元)</w:t>
            </w:r>
          </w:p>
        </w:tc>
        <w:tc>
          <w:tcPr>
            <w:tcW w:w="1616"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3028</w:t>
            </w:r>
          </w:p>
        </w:tc>
        <w:tc>
          <w:tcPr>
            <w:tcW w:w="1550"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4321.54</w:t>
            </w:r>
          </w:p>
        </w:tc>
        <w:tc>
          <w:tcPr>
            <w:tcW w:w="1438"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-1293.54</w:t>
            </w:r>
          </w:p>
        </w:tc>
        <w:tc>
          <w:tcPr>
            <w:tcW w:w="1439"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-29.93%</w:t>
            </w:r>
          </w:p>
        </w:tc>
      </w:tr>
      <w:tr w:rsidR="002C02E6">
        <w:tc>
          <w:tcPr>
            <w:tcW w:w="3131" w:type="dxa"/>
            <w:vAlign w:val="center"/>
          </w:tcPr>
          <w:p w:rsidR="002C02E6" w:rsidRDefault="00C917C2">
            <w:pPr>
              <w:rPr>
                <w:rFonts w:ascii="宋体" w:hAnsi="宋体"/>
                <w:color w:val="000000"/>
                <w:spacing w:val="30"/>
                <w:sz w:val="18"/>
                <w:szCs w:val="18"/>
              </w:rPr>
            </w:pPr>
            <w:r>
              <w:rPr>
                <w:rFonts w:ascii="宋体" w:hAnsi="宋体" w:hint="eastAsia"/>
                <w:color w:val="000000"/>
                <w:spacing w:val="30"/>
                <w:sz w:val="18"/>
                <w:szCs w:val="18"/>
              </w:rPr>
              <w:t xml:space="preserve">       药品费用占比(%)</w:t>
            </w:r>
          </w:p>
        </w:tc>
        <w:tc>
          <w:tcPr>
            <w:tcW w:w="1616"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22.48%</w:t>
            </w:r>
          </w:p>
        </w:tc>
        <w:tc>
          <w:tcPr>
            <w:tcW w:w="1550"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28.41%</w:t>
            </w:r>
          </w:p>
        </w:tc>
        <w:tc>
          <w:tcPr>
            <w:tcW w:w="1438"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-5.93%</w:t>
            </w:r>
          </w:p>
        </w:tc>
        <w:tc>
          <w:tcPr>
            <w:tcW w:w="1439" w:type="dxa"/>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-20.87%</w:t>
            </w:r>
          </w:p>
        </w:tc>
      </w:tr>
      <w:tr w:rsidR="002C02E6">
        <w:tc>
          <w:tcPr>
            <w:tcW w:w="3131" w:type="dxa"/>
            <w:vAlign w:val="center"/>
          </w:tcPr>
          <w:p w:rsidR="002C02E6" w:rsidRDefault="00C917C2">
            <w:pPr>
              <w:ind w:right="360"/>
              <w:jc w:val="right"/>
              <w:rPr>
                <w:rFonts w:ascii="宋体" w:hAnsi="宋体"/>
                <w:color w:val="000000"/>
                <w:spacing w:val="30"/>
                <w:sz w:val="18"/>
                <w:szCs w:val="18"/>
              </w:rPr>
            </w:pPr>
            <w:r>
              <w:rPr>
                <w:rFonts w:ascii="宋体" w:hAnsi="宋体" w:hint="eastAsia"/>
                <w:color w:val="000000"/>
                <w:spacing w:val="30"/>
                <w:sz w:val="18"/>
                <w:szCs w:val="18"/>
              </w:rPr>
              <w:t>卫生材料费</w:t>
            </w:r>
            <w:r>
              <w:rPr>
                <w:rFonts w:ascii="宋体" w:cs="宋体" w:hint="eastAsia"/>
                <w:spacing w:val="30"/>
                <w:kern w:val="0"/>
                <w:sz w:val="18"/>
                <w:szCs w:val="18"/>
                <w:lang w:val="zh-CN"/>
              </w:rPr>
              <w:t>(</w:t>
            </w:r>
            <w:r>
              <w:rPr>
                <w:rFonts w:ascii="宋体" w:hAnsi="宋体" w:hint="eastAsia"/>
                <w:color w:val="000000"/>
                <w:spacing w:val="30"/>
                <w:sz w:val="18"/>
                <w:szCs w:val="18"/>
              </w:rPr>
              <w:t>元)</w:t>
            </w:r>
          </w:p>
        </w:tc>
        <w:tc>
          <w:tcPr>
            <w:tcW w:w="1616" w:type="dxa"/>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3569.57</w:t>
            </w:r>
          </w:p>
        </w:tc>
        <w:tc>
          <w:tcPr>
            <w:tcW w:w="1550"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3879.11</w:t>
            </w:r>
          </w:p>
        </w:tc>
        <w:tc>
          <w:tcPr>
            <w:tcW w:w="1438"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-309.54</w:t>
            </w:r>
          </w:p>
        </w:tc>
        <w:tc>
          <w:tcPr>
            <w:tcW w:w="1439" w:type="dxa"/>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-7.98%</w:t>
            </w:r>
          </w:p>
        </w:tc>
      </w:tr>
      <w:tr w:rsidR="002C02E6">
        <w:tc>
          <w:tcPr>
            <w:tcW w:w="3131" w:type="dxa"/>
            <w:tcBorders>
              <w:bottom w:val="single" w:sz="4" w:space="0" w:color="auto"/>
            </w:tcBorders>
            <w:vAlign w:val="center"/>
          </w:tcPr>
          <w:p w:rsidR="002C02E6" w:rsidRDefault="00C917C2">
            <w:pPr>
              <w:ind w:right="120"/>
              <w:jc w:val="right"/>
              <w:rPr>
                <w:rFonts w:ascii="宋体" w:hAnsi="宋体"/>
                <w:color w:val="000000"/>
                <w:spacing w:val="30"/>
                <w:sz w:val="18"/>
                <w:szCs w:val="18"/>
              </w:rPr>
            </w:pPr>
            <w:r>
              <w:rPr>
                <w:rFonts w:ascii="宋体" w:hAnsi="宋体" w:hint="eastAsia"/>
                <w:color w:val="000000"/>
                <w:spacing w:val="30"/>
                <w:sz w:val="18"/>
                <w:szCs w:val="18"/>
              </w:rPr>
              <w:t>卫生材料费占比(%)</w:t>
            </w:r>
          </w:p>
        </w:tc>
        <w:tc>
          <w:tcPr>
            <w:tcW w:w="1616"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hint="eastAsia"/>
                <w:color w:val="000000"/>
                <w:spacing w:val="30"/>
                <w:sz w:val="18"/>
                <w:szCs w:val="18"/>
              </w:rPr>
              <w:t>26.50%</w:t>
            </w:r>
          </w:p>
        </w:tc>
        <w:tc>
          <w:tcPr>
            <w:tcW w:w="1550"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25.51%</w:t>
            </w:r>
          </w:p>
        </w:tc>
        <w:tc>
          <w:tcPr>
            <w:tcW w:w="1438"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0.99%</w:t>
            </w:r>
          </w:p>
        </w:tc>
        <w:tc>
          <w:tcPr>
            <w:tcW w:w="1439" w:type="dxa"/>
            <w:tcBorders>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cs="Calibri" w:hint="eastAsia"/>
                <w:color w:val="000000"/>
                <w:spacing w:val="30"/>
                <w:kern w:val="0"/>
                <w:sz w:val="18"/>
                <w:szCs w:val="18"/>
              </w:rPr>
              <w:t>3.88%</w:t>
            </w:r>
          </w:p>
        </w:tc>
      </w:tr>
    </w:tbl>
    <w:p w:rsidR="002C02E6" w:rsidRDefault="002C02E6">
      <w:pPr>
        <w:spacing w:beforeLines="50" w:before="156" w:afterLines="50" w:after="156"/>
        <w:jc w:val="center"/>
        <w:rPr>
          <w:rFonts w:ascii="宋体"/>
          <w:sz w:val="24"/>
        </w:rPr>
      </w:pPr>
    </w:p>
    <w:p w:rsidR="002C02E6" w:rsidRDefault="00C917C2">
      <w:pPr>
        <w:spacing w:beforeLines="50" w:before="156" w:afterLines="50" w:after="156"/>
        <w:jc w:val="center"/>
        <w:rPr>
          <w:b/>
          <w:szCs w:val="21"/>
        </w:rPr>
      </w:pPr>
      <w:r>
        <w:rPr>
          <w:rFonts w:ascii="宋体" w:hint="eastAsia"/>
          <w:b/>
          <w:szCs w:val="21"/>
        </w:rPr>
        <w:t>2017年各院区每住院人次费用表</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529"/>
        <w:gridCol w:w="1529"/>
        <w:gridCol w:w="1529"/>
        <w:gridCol w:w="1529"/>
        <w:gridCol w:w="1529"/>
      </w:tblGrid>
      <w:tr w:rsidR="002C02E6">
        <w:tc>
          <w:tcPr>
            <w:tcW w:w="2200"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科室</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每住院人次费用</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其中:药品费</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药品费占比</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材料费(元)</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hint="eastAsia"/>
                <w:b w:val="0"/>
                <w:bCs w:val="0"/>
                <w:sz w:val="18"/>
                <w:szCs w:val="18"/>
              </w:rPr>
              <w:t>材料费占比</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消化内科市南院区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16581.23</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3417.85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20.61%</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5216.55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31.46%</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消化内科黄岛院区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11782.88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3119.96</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26.48%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2502.32</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21.24%</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消化内科崂山院区</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10473.65</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2155.26</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20.58%</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2270.27</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21.68%</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消化内科网络门诊</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c>
          <w:tcPr>
            <w:tcW w:w="1529" w:type="dxa"/>
            <w:shd w:val="clear" w:color="auto" w:fill="auto"/>
            <w:vAlign w:val="center"/>
          </w:tcPr>
          <w:p w:rsidR="002C02E6" w:rsidRDefault="00C917C2">
            <w:pPr>
              <w:pStyle w:val="ac"/>
              <w:spacing w:before="0" w:after="0"/>
              <w:ind w:firstLine="0"/>
              <w:outlineLvl w:val="9"/>
              <w:rPr>
                <w:rFonts w:ascii="宋体" w:hAnsi="Times New Roman"/>
                <w:b w:val="0"/>
                <w:bCs w:val="0"/>
                <w:sz w:val="20"/>
                <w:szCs w:val="18"/>
              </w:rPr>
            </w:pPr>
            <w:r>
              <w:rPr>
                <w:rFonts w:ascii="宋体" w:hAnsi="Times New Roman"/>
                <w:b w:val="0"/>
                <w:bCs w:val="0"/>
                <w:sz w:val="20"/>
                <w:szCs w:val="18"/>
              </w:rPr>
              <w:t>0</w:t>
            </w:r>
          </w:p>
        </w:tc>
      </w:tr>
      <w:tr w:rsidR="002C02E6">
        <w:tc>
          <w:tcPr>
            <w:tcW w:w="2200" w:type="dxa"/>
            <w:shd w:val="clear" w:color="auto" w:fill="auto"/>
          </w:tcPr>
          <w:p w:rsidR="002C02E6" w:rsidRDefault="00C917C2">
            <w:pPr>
              <w:pStyle w:val="ac"/>
              <w:spacing w:before="0" w:after="0"/>
              <w:ind w:firstLine="0"/>
              <w:jc w:val="both"/>
              <w:outlineLvl w:val="9"/>
              <w:rPr>
                <w:rFonts w:ascii="宋体" w:hAnsi="Times New Roman"/>
                <w:b w:val="0"/>
                <w:bCs w:val="0"/>
                <w:sz w:val="18"/>
                <w:szCs w:val="18"/>
              </w:rPr>
            </w:pPr>
            <w:r>
              <w:rPr>
                <w:rFonts w:ascii="宋体" w:hAnsi="Times New Roman" w:hint="eastAsia"/>
                <w:b w:val="0"/>
                <w:bCs w:val="0"/>
                <w:sz w:val="18"/>
                <w:szCs w:val="18"/>
              </w:rPr>
              <w:t>合计</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13469.48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3028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22.48%</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3569.57</w:t>
            </w:r>
          </w:p>
        </w:tc>
        <w:tc>
          <w:tcPr>
            <w:tcW w:w="1529" w:type="dxa"/>
            <w:shd w:val="clear" w:color="auto" w:fill="auto"/>
          </w:tcPr>
          <w:p w:rsidR="002C02E6" w:rsidRDefault="00C917C2">
            <w:pPr>
              <w:pStyle w:val="ac"/>
              <w:spacing w:before="0" w:after="0"/>
              <w:ind w:firstLine="0"/>
              <w:outlineLvl w:val="9"/>
              <w:rPr>
                <w:rFonts w:ascii="宋体" w:hAnsi="Times New Roman"/>
                <w:b w:val="0"/>
                <w:bCs w:val="0"/>
                <w:sz w:val="18"/>
                <w:szCs w:val="18"/>
              </w:rPr>
            </w:pPr>
            <w:r>
              <w:rPr>
                <w:rFonts w:ascii="宋体" w:hAnsi="Times New Roman"/>
                <w:b w:val="0"/>
                <w:bCs w:val="0"/>
                <w:sz w:val="18"/>
                <w:szCs w:val="18"/>
              </w:rPr>
              <w:t>26.50%</w:t>
            </w:r>
          </w:p>
        </w:tc>
      </w:tr>
    </w:tbl>
    <w:p w:rsidR="002C02E6" w:rsidRDefault="002C02E6">
      <w:pPr>
        <w:pStyle w:val="ac"/>
        <w:spacing w:before="0" w:after="0"/>
        <w:ind w:firstLine="567"/>
        <w:jc w:val="both"/>
        <w:outlineLvl w:val="9"/>
        <w:rPr>
          <w:rFonts w:ascii="宋体" w:hAnsi="Times New Roman"/>
          <w:b w:val="0"/>
          <w:bCs w:val="0"/>
          <w:sz w:val="18"/>
          <w:szCs w:val="18"/>
        </w:rPr>
      </w:pPr>
    </w:p>
    <w:p w:rsidR="002C02E6" w:rsidRDefault="00C917C2">
      <w:pPr>
        <w:pStyle w:val="ac"/>
        <w:spacing w:before="0" w:after="0"/>
        <w:ind w:firstLine="567"/>
        <w:outlineLvl w:val="9"/>
        <w:rPr>
          <w:rFonts w:ascii="宋体" w:hAnsi="Times New Roman"/>
          <w:b w:val="0"/>
          <w:bCs w:val="0"/>
          <w:sz w:val="21"/>
          <w:szCs w:val="21"/>
        </w:rPr>
      </w:pPr>
      <w:r>
        <w:rPr>
          <w:noProof/>
        </w:rPr>
        <w:t xml:space="preserve"> </w:t>
      </w:r>
      <w:r>
        <w:rPr>
          <w:noProof/>
        </w:rPr>
        <w:drawing>
          <wp:inline distT="0" distB="0" distL="0" distR="0">
            <wp:extent cx="4765040" cy="2854960"/>
            <wp:effectExtent l="0" t="0" r="0" b="0"/>
            <wp:docPr id="20"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5040" cy="2854960"/>
                    </a:xfrm>
                    <a:prstGeom prst="rect">
                      <a:avLst/>
                    </a:prstGeom>
                    <a:noFill/>
                    <a:ln>
                      <a:noFill/>
                    </a:ln>
                  </pic:spPr>
                </pic:pic>
              </a:graphicData>
            </a:graphic>
          </wp:inline>
        </w:drawing>
      </w:r>
    </w:p>
    <w:p w:rsidR="002C02E6" w:rsidRDefault="00C917C2">
      <w:pPr>
        <w:pStyle w:val="4"/>
        <w:ind w:firstLine="482"/>
        <w:rPr>
          <w:rFonts w:ascii="宋体"/>
          <w:b/>
          <w:sz w:val="24"/>
        </w:rPr>
      </w:pPr>
      <w:bookmarkStart w:id="130" w:name="_Toc500143193"/>
      <w:r>
        <w:rPr>
          <w:rFonts w:ascii="宋体" w:hint="eastAsia"/>
          <w:b/>
          <w:sz w:val="24"/>
        </w:rPr>
        <w:t>(三) 青岛市</w:t>
      </w:r>
      <w:proofErr w:type="gramStart"/>
      <w:r>
        <w:rPr>
          <w:rFonts w:ascii="宋体" w:hint="eastAsia"/>
          <w:b/>
          <w:sz w:val="24"/>
        </w:rPr>
        <w:t>控费考核</w:t>
      </w:r>
      <w:proofErr w:type="gramEnd"/>
      <w:r>
        <w:rPr>
          <w:rFonts w:ascii="宋体" w:hint="eastAsia"/>
          <w:b/>
          <w:sz w:val="24"/>
        </w:rPr>
        <w:t>指标执行情况</w:t>
      </w:r>
      <w:bookmarkEnd w:id="130"/>
    </w:p>
    <w:p w:rsidR="002C02E6" w:rsidRDefault="00C917C2">
      <w:pPr>
        <w:pStyle w:val="a4"/>
        <w:spacing w:beforeLines="50" w:before="156" w:afterLines="50" w:after="156"/>
        <w:ind w:left="709" w:firstLineChars="0" w:firstLine="0"/>
        <w:jc w:val="center"/>
        <w:rPr>
          <w:rFonts w:ascii="宋体"/>
          <w:b/>
          <w:szCs w:val="21"/>
        </w:rPr>
      </w:pPr>
      <w:r>
        <w:rPr>
          <w:rFonts w:ascii="宋体" w:hint="eastAsia"/>
          <w:b/>
          <w:szCs w:val="21"/>
        </w:rPr>
        <w:t>2017年</w:t>
      </w:r>
      <w:proofErr w:type="gramStart"/>
      <w:r>
        <w:rPr>
          <w:rFonts w:ascii="宋体" w:hint="eastAsia"/>
          <w:b/>
          <w:szCs w:val="21"/>
        </w:rPr>
        <w:t>医改控制</w:t>
      </w:r>
      <w:proofErr w:type="gramEnd"/>
      <w:r>
        <w:rPr>
          <w:rFonts w:ascii="宋体" w:hint="eastAsia"/>
          <w:b/>
          <w:szCs w:val="21"/>
        </w:rPr>
        <w:t>指标列表</w:t>
      </w:r>
    </w:p>
    <w:tbl>
      <w:tblPr>
        <w:tblpPr w:leftFromText="180" w:rightFromText="180" w:vertAnchor="text" w:horzAnchor="margin" w:tblpXSpec="center" w:tblpY="213"/>
        <w:tblW w:w="9180" w:type="dxa"/>
        <w:tblLayout w:type="fixed"/>
        <w:tblLook w:val="0000" w:firstRow="0" w:lastRow="0" w:firstColumn="0" w:lastColumn="0" w:noHBand="0" w:noVBand="0"/>
      </w:tblPr>
      <w:tblGrid>
        <w:gridCol w:w="4786"/>
        <w:gridCol w:w="1559"/>
        <w:gridCol w:w="1418"/>
        <w:gridCol w:w="1417"/>
      </w:tblGrid>
      <w:tr w:rsidR="002C02E6">
        <w:trPr>
          <w:trHeight w:val="557"/>
        </w:trPr>
        <w:tc>
          <w:tcPr>
            <w:tcW w:w="4786"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指标</w:t>
            </w:r>
          </w:p>
        </w:tc>
        <w:tc>
          <w:tcPr>
            <w:tcW w:w="1559"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本期</w:t>
            </w:r>
          </w:p>
        </w:tc>
        <w:tc>
          <w:tcPr>
            <w:tcW w:w="1418"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上年同期</w:t>
            </w:r>
          </w:p>
        </w:tc>
        <w:tc>
          <w:tcPr>
            <w:tcW w:w="1417" w:type="dxa"/>
            <w:tcBorders>
              <w:top w:val="single" w:sz="4" w:space="0" w:color="auto"/>
              <w:bottom w:val="single" w:sz="4" w:space="0" w:color="auto"/>
            </w:tcBorders>
            <w:vAlign w:val="center"/>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增幅</w:t>
            </w:r>
          </w:p>
        </w:tc>
      </w:tr>
      <w:tr w:rsidR="002C02E6">
        <w:tc>
          <w:tcPr>
            <w:tcW w:w="4786" w:type="dxa"/>
            <w:tcBorders>
              <w:top w:val="single" w:sz="4" w:space="0" w:color="auto"/>
            </w:tcBorders>
            <w:vAlign w:val="center"/>
          </w:tcPr>
          <w:p w:rsidR="002C02E6" w:rsidRDefault="00C917C2">
            <w:pPr>
              <w:jc w:val="left"/>
              <w:rPr>
                <w:rFonts w:ascii="宋体" w:hAnsi="宋体"/>
                <w:color w:val="000000"/>
                <w:spacing w:val="30"/>
                <w:sz w:val="18"/>
                <w:szCs w:val="18"/>
              </w:rPr>
            </w:pPr>
            <w:r>
              <w:rPr>
                <w:rFonts w:ascii="宋体" w:hAnsi="宋体" w:hint="eastAsia"/>
                <w:color w:val="000000"/>
                <w:spacing w:val="30"/>
                <w:sz w:val="18"/>
                <w:szCs w:val="18"/>
              </w:rPr>
              <w:lastRenderedPageBreak/>
              <w:t>每门诊人次费用</w:t>
            </w:r>
          </w:p>
        </w:tc>
        <w:tc>
          <w:tcPr>
            <w:tcW w:w="1559"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392.61</w:t>
            </w:r>
          </w:p>
        </w:tc>
        <w:tc>
          <w:tcPr>
            <w:tcW w:w="1418"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359.89</w:t>
            </w:r>
          </w:p>
        </w:tc>
        <w:tc>
          <w:tcPr>
            <w:tcW w:w="1417" w:type="dxa"/>
            <w:tcBorders>
              <w:top w:val="single" w:sz="4" w:space="0" w:color="auto"/>
            </w:tcBorders>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9.09%</w:t>
            </w:r>
          </w:p>
        </w:tc>
      </w:tr>
      <w:tr w:rsidR="002C02E6">
        <w:tc>
          <w:tcPr>
            <w:tcW w:w="4786" w:type="dxa"/>
            <w:vAlign w:val="center"/>
          </w:tcPr>
          <w:p w:rsidR="002C02E6" w:rsidRDefault="00C917C2">
            <w:pPr>
              <w:jc w:val="left"/>
              <w:rPr>
                <w:rFonts w:ascii="宋体" w:hAnsi="宋体"/>
                <w:color w:val="000000"/>
                <w:spacing w:val="30"/>
                <w:sz w:val="18"/>
                <w:szCs w:val="18"/>
              </w:rPr>
            </w:pPr>
            <w:r>
              <w:rPr>
                <w:rFonts w:ascii="宋体" w:hAnsi="宋体" w:hint="eastAsia"/>
                <w:color w:val="000000"/>
                <w:spacing w:val="30"/>
                <w:sz w:val="18"/>
                <w:szCs w:val="18"/>
              </w:rPr>
              <w:t>每住院人次费用</w:t>
            </w:r>
          </w:p>
        </w:tc>
        <w:tc>
          <w:tcPr>
            <w:tcW w:w="1559"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13469.48</w:t>
            </w:r>
          </w:p>
        </w:tc>
        <w:tc>
          <w:tcPr>
            <w:tcW w:w="1418"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15209.09</w:t>
            </w:r>
          </w:p>
        </w:tc>
        <w:tc>
          <w:tcPr>
            <w:tcW w:w="1417" w:type="dxa"/>
          </w:tcPr>
          <w:p w:rsidR="002C02E6" w:rsidRDefault="00C917C2">
            <w:pPr>
              <w:jc w:val="center"/>
              <w:rPr>
                <w:rFonts w:ascii="宋体" w:hAnsi="宋体"/>
                <w:color w:val="000000"/>
                <w:spacing w:val="30"/>
                <w:sz w:val="18"/>
                <w:szCs w:val="18"/>
              </w:rPr>
            </w:pPr>
            <w:r>
              <w:rPr>
                <w:rFonts w:ascii="宋体" w:hAnsi="宋体" w:hint="eastAsia"/>
                <w:color w:val="000000"/>
                <w:spacing w:val="30"/>
                <w:sz w:val="18"/>
                <w:szCs w:val="18"/>
              </w:rPr>
              <w:t>-11.44%</w:t>
            </w:r>
          </w:p>
        </w:tc>
      </w:tr>
      <w:tr w:rsidR="002C02E6">
        <w:tc>
          <w:tcPr>
            <w:tcW w:w="4786" w:type="dxa"/>
            <w:vAlign w:val="center"/>
          </w:tcPr>
          <w:p w:rsidR="002C02E6" w:rsidRDefault="00C917C2">
            <w:pPr>
              <w:ind w:right="240"/>
              <w:jc w:val="left"/>
              <w:rPr>
                <w:rFonts w:ascii="宋体" w:hAnsi="宋体"/>
                <w:color w:val="000000"/>
                <w:spacing w:val="30"/>
                <w:sz w:val="18"/>
                <w:szCs w:val="18"/>
              </w:rPr>
            </w:pPr>
            <w:r>
              <w:rPr>
                <w:rFonts w:ascii="宋体" w:hAnsi="宋体" w:hint="eastAsia"/>
                <w:color w:val="000000"/>
                <w:spacing w:val="30"/>
                <w:sz w:val="18"/>
                <w:szCs w:val="18"/>
              </w:rPr>
              <w:t>药占比(不含中药饮片)</w:t>
            </w:r>
          </w:p>
        </w:tc>
        <w:tc>
          <w:tcPr>
            <w:tcW w:w="1559"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33.6%</w:t>
            </w:r>
          </w:p>
        </w:tc>
        <w:tc>
          <w:tcPr>
            <w:tcW w:w="1418"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36.1%</w:t>
            </w:r>
          </w:p>
        </w:tc>
        <w:tc>
          <w:tcPr>
            <w:tcW w:w="1417"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-6.93%</w:t>
            </w:r>
          </w:p>
        </w:tc>
      </w:tr>
      <w:tr w:rsidR="002C02E6">
        <w:tc>
          <w:tcPr>
            <w:tcW w:w="4786" w:type="dxa"/>
            <w:vAlign w:val="center"/>
          </w:tcPr>
          <w:p w:rsidR="002C02E6" w:rsidRDefault="00C917C2">
            <w:pPr>
              <w:ind w:right="240"/>
              <w:jc w:val="left"/>
              <w:rPr>
                <w:rFonts w:ascii="宋体" w:hAnsi="宋体"/>
                <w:color w:val="000000"/>
                <w:spacing w:val="30"/>
                <w:sz w:val="18"/>
                <w:szCs w:val="18"/>
              </w:rPr>
            </w:pPr>
            <w:r>
              <w:rPr>
                <w:rFonts w:ascii="宋体" w:hAnsi="宋体" w:cs="Calibri" w:hint="eastAsia"/>
                <w:color w:val="000000"/>
                <w:spacing w:val="30"/>
                <w:kern w:val="0"/>
                <w:sz w:val="18"/>
                <w:szCs w:val="18"/>
              </w:rPr>
              <w:t>卫生材料收入占比</w:t>
            </w:r>
          </w:p>
        </w:tc>
        <w:tc>
          <w:tcPr>
            <w:tcW w:w="1559"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13.2%</w:t>
            </w:r>
          </w:p>
        </w:tc>
        <w:tc>
          <w:tcPr>
            <w:tcW w:w="1418"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13.6%</w:t>
            </w:r>
          </w:p>
        </w:tc>
        <w:tc>
          <w:tcPr>
            <w:tcW w:w="1417"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-2.94%</w:t>
            </w:r>
          </w:p>
        </w:tc>
      </w:tr>
      <w:tr w:rsidR="002C02E6">
        <w:tc>
          <w:tcPr>
            <w:tcW w:w="4786" w:type="dxa"/>
            <w:vAlign w:val="center"/>
          </w:tcPr>
          <w:p w:rsidR="002C02E6" w:rsidRDefault="00C917C2">
            <w:pPr>
              <w:jc w:val="left"/>
              <w:rPr>
                <w:rFonts w:ascii="宋体" w:hAnsi="宋体"/>
                <w:color w:val="000000"/>
                <w:spacing w:val="30"/>
                <w:sz w:val="18"/>
                <w:szCs w:val="18"/>
              </w:rPr>
            </w:pPr>
            <w:r>
              <w:rPr>
                <w:rFonts w:ascii="宋体" w:hAnsi="宋体" w:hint="eastAsia"/>
                <w:color w:val="000000"/>
                <w:spacing w:val="30"/>
                <w:sz w:val="18"/>
                <w:szCs w:val="18"/>
              </w:rPr>
              <w:t>检查收入占比</w:t>
            </w:r>
          </w:p>
        </w:tc>
        <w:tc>
          <w:tcPr>
            <w:tcW w:w="1559"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25.8%</w:t>
            </w:r>
          </w:p>
        </w:tc>
        <w:tc>
          <w:tcPr>
            <w:tcW w:w="1418"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26%</w:t>
            </w:r>
          </w:p>
        </w:tc>
        <w:tc>
          <w:tcPr>
            <w:tcW w:w="1417"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-0.77%</w:t>
            </w:r>
          </w:p>
        </w:tc>
      </w:tr>
      <w:tr w:rsidR="002C02E6">
        <w:tc>
          <w:tcPr>
            <w:tcW w:w="4786" w:type="dxa"/>
            <w:vAlign w:val="center"/>
          </w:tcPr>
          <w:p w:rsidR="002C02E6" w:rsidRDefault="00C917C2">
            <w:pPr>
              <w:jc w:val="left"/>
              <w:rPr>
                <w:rFonts w:ascii="宋体" w:hAnsi="宋体"/>
                <w:color w:val="000000"/>
                <w:spacing w:val="30"/>
                <w:sz w:val="18"/>
                <w:szCs w:val="18"/>
              </w:rPr>
            </w:pPr>
            <w:r>
              <w:rPr>
                <w:rFonts w:ascii="宋体" w:hAnsi="宋体" w:hint="eastAsia"/>
                <w:color w:val="000000"/>
                <w:spacing w:val="30"/>
                <w:sz w:val="18"/>
                <w:szCs w:val="18"/>
              </w:rPr>
              <w:t>检验收入占比</w:t>
            </w:r>
          </w:p>
        </w:tc>
        <w:tc>
          <w:tcPr>
            <w:tcW w:w="1559"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13.6%</w:t>
            </w:r>
          </w:p>
        </w:tc>
        <w:tc>
          <w:tcPr>
            <w:tcW w:w="1418"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12.5%</w:t>
            </w:r>
          </w:p>
        </w:tc>
        <w:tc>
          <w:tcPr>
            <w:tcW w:w="1417" w:type="dxa"/>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8.80%</w:t>
            </w:r>
          </w:p>
        </w:tc>
      </w:tr>
      <w:tr w:rsidR="002C02E6">
        <w:tc>
          <w:tcPr>
            <w:tcW w:w="4786" w:type="dxa"/>
            <w:tcBorders>
              <w:bottom w:val="single" w:sz="4" w:space="0" w:color="auto"/>
            </w:tcBorders>
            <w:vAlign w:val="center"/>
          </w:tcPr>
          <w:p w:rsidR="002C02E6" w:rsidRDefault="00C917C2">
            <w:pPr>
              <w:jc w:val="left"/>
              <w:rPr>
                <w:rFonts w:ascii="宋体" w:hAnsi="宋体"/>
                <w:color w:val="000000"/>
                <w:spacing w:val="30"/>
                <w:sz w:val="18"/>
                <w:szCs w:val="18"/>
              </w:rPr>
            </w:pPr>
            <w:r>
              <w:rPr>
                <w:rFonts w:ascii="宋体" w:hAnsi="宋体" w:hint="eastAsia"/>
                <w:color w:val="000000"/>
                <w:spacing w:val="30"/>
                <w:sz w:val="18"/>
                <w:szCs w:val="18"/>
              </w:rPr>
              <w:t>百元医疗收入(不含药品收入)卫生材料支出</w:t>
            </w:r>
          </w:p>
        </w:tc>
        <w:tc>
          <w:tcPr>
            <w:tcW w:w="1559"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27.5%</w:t>
            </w:r>
          </w:p>
        </w:tc>
        <w:tc>
          <w:tcPr>
            <w:tcW w:w="1418"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28.1%</w:t>
            </w:r>
          </w:p>
        </w:tc>
        <w:tc>
          <w:tcPr>
            <w:tcW w:w="1417" w:type="dxa"/>
            <w:tcBorders>
              <w:bottom w:val="single" w:sz="4" w:space="0" w:color="auto"/>
            </w:tcBorders>
            <w:vAlign w:val="center"/>
          </w:tcPr>
          <w:p w:rsidR="002C02E6" w:rsidRDefault="00C917C2">
            <w:pPr>
              <w:jc w:val="center"/>
              <w:rPr>
                <w:rFonts w:ascii="宋体" w:hAnsi="宋体" w:cs="Calibri"/>
                <w:color w:val="000000"/>
                <w:spacing w:val="30"/>
                <w:kern w:val="0"/>
                <w:sz w:val="18"/>
                <w:szCs w:val="18"/>
              </w:rPr>
            </w:pPr>
            <w:r>
              <w:rPr>
                <w:rFonts w:ascii="宋体" w:hAnsi="宋体" w:cs="Calibri" w:hint="eastAsia"/>
                <w:color w:val="000000"/>
                <w:spacing w:val="30"/>
                <w:kern w:val="0"/>
                <w:sz w:val="18"/>
                <w:szCs w:val="18"/>
              </w:rPr>
              <w:t>-2.14%</w:t>
            </w:r>
          </w:p>
        </w:tc>
      </w:tr>
    </w:tbl>
    <w:p w:rsidR="002C02E6" w:rsidRDefault="00C917C2">
      <w:pPr>
        <w:spacing w:beforeLines="50" w:before="156" w:afterLines="50" w:after="156"/>
        <w:jc w:val="center"/>
        <w:rPr>
          <w:rFonts w:ascii="宋体" w:hAnsi="宋体"/>
          <w:color w:val="000000"/>
          <w:spacing w:val="30"/>
          <w:szCs w:val="21"/>
        </w:rPr>
      </w:pPr>
      <w:r>
        <w:rPr>
          <w:noProof/>
        </w:rPr>
        <w:t xml:space="preserve"> </w:t>
      </w:r>
      <w:r>
        <w:rPr>
          <w:noProof/>
        </w:rPr>
        <w:drawing>
          <wp:inline distT="0" distB="0" distL="0" distR="0">
            <wp:extent cx="4289425" cy="2668905"/>
            <wp:effectExtent l="0" t="0" r="0" b="0"/>
            <wp:docPr id="2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spacing w:beforeLines="50" w:before="156" w:afterLines="50" w:after="156"/>
        <w:jc w:val="center"/>
        <w:rPr>
          <w:rFonts w:ascii="宋体" w:hAnsi="宋体"/>
          <w:color w:val="000000"/>
          <w:spacing w:val="30"/>
          <w:szCs w:val="21"/>
        </w:rPr>
      </w:pPr>
      <w:r>
        <w:rPr>
          <w:noProof/>
        </w:rPr>
        <w:t xml:space="preserve"> </w:t>
      </w:r>
      <w:r>
        <w:rPr>
          <w:noProof/>
        </w:rPr>
        <w:drawing>
          <wp:inline distT="0" distB="0" distL="0" distR="0">
            <wp:extent cx="4289425" cy="2668905"/>
            <wp:effectExtent l="0" t="0" r="0" b="0"/>
            <wp:docPr id="22"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spacing w:beforeLines="50" w:before="156" w:afterLines="50" w:after="156"/>
        <w:jc w:val="center"/>
        <w:rPr>
          <w:rFonts w:ascii="宋体" w:hAnsi="宋体"/>
          <w:color w:val="000000"/>
          <w:spacing w:val="30"/>
          <w:szCs w:val="21"/>
        </w:rPr>
      </w:pPr>
      <w:r>
        <w:rPr>
          <w:noProof/>
        </w:rPr>
        <w:lastRenderedPageBreak/>
        <w:t xml:space="preserve"> </w:t>
      </w:r>
      <w:r>
        <w:rPr>
          <w:noProof/>
        </w:rPr>
        <w:drawing>
          <wp:inline distT="0" distB="0" distL="0" distR="0">
            <wp:extent cx="4289425" cy="2668905"/>
            <wp:effectExtent l="0" t="0" r="0" b="0"/>
            <wp:docPr id="23"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C917C2">
      <w:pPr>
        <w:spacing w:beforeLines="50" w:before="156" w:afterLines="50" w:after="156"/>
        <w:jc w:val="center"/>
        <w:rPr>
          <w:rFonts w:ascii="宋体" w:hAnsi="宋体"/>
          <w:color w:val="000000"/>
          <w:spacing w:val="30"/>
          <w:szCs w:val="21"/>
        </w:rPr>
      </w:pPr>
      <w:r>
        <w:rPr>
          <w:noProof/>
        </w:rPr>
        <w:t xml:space="preserve"> </w:t>
      </w:r>
      <w:r>
        <w:rPr>
          <w:noProof/>
        </w:rPr>
        <w:drawing>
          <wp:inline distT="0" distB="0" distL="0" distR="0">
            <wp:extent cx="4289425" cy="2668905"/>
            <wp:effectExtent l="0" t="0" r="0" b="0"/>
            <wp:docPr id="24"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9425" cy="2668905"/>
                    </a:xfrm>
                    <a:prstGeom prst="rect">
                      <a:avLst/>
                    </a:prstGeom>
                    <a:noFill/>
                    <a:ln>
                      <a:noFill/>
                    </a:ln>
                  </pic:spPr>
                </pic:pic>
              </a:graphicData>
            </a:graphic>
          </wp:inline>
        </w:drawing>
      </w:r>
    </w:p>
    <w:p w:rsidR="002C02E6" w:rsidRDefault="002C02E6" w:rsidP="0053374F">
      <w:pPr>
        <w:pStyle w:val="1"/>
        <w:jc w:val="both"/>
        <w:rPr>
          <w:rFonts w:ascii="仿宋_GB2312" w:eastAsia="仿宋_GB2312"/>
          <w:sz w:val="32"/>
          <w:szCs w:val="32"/>
        </w:rPr>
      </w:pPr>
      <w:bookmarkStart w:id="131" w:name="_GoBack"/>
      <w:bookmarkEnd w:id="131"/>
    </w:p>
    <w:sectPr w:rsidR="002C02E6">
      <w:footerReference w:type="default" r:id="rId56"/>
      <w:pgSz w:w="11906" w:h="16838"/>
      <w:pgMar w:top="1701" w:right="1531" w:bottom="1701" w:left="1531"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DDC" w:rsidRDefault="00117DDC">
      <w:r>
        <w:separator/>
      </w:r>
    </w:p>
  </w:endnote>
  <w:endnote w:type="continuationSeparator" w:id="0">
    <w:p w:rsidR="00117DDC" w:rsidRDefault="00117DDC">
      <w:r>
        <w:continuationSeparator/>
      </w:r>
    </w:p>
  </w:endnote>
  <w:endnote w:type="continuationNotice" w:id="1">
    <w:p w:rsidR="00117DDC" w:rsidRDefault="00117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等线">
    <w:altName w:val="Arial Unicode MS"/>
    <w:charset w:val="86"/>
    <w:family w:val="auto"/>
    <w:pitch w:val="default"/>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2E6" w:rsidRDefault="00C917C2">
    <w:pPr>
      <w:pStyle w:val="a7"/>
      <w:jc w:val="right"/>
    </w:pPr>
    <w:r>
      <w:fldChar w:fldCharType="begin"/>
    </w:r>
    <w:r>
      <w:instrText>PAGE   \* MERGEFORMAT</w:instrText>
    </w:r>
    <w:r>
      <w:fldChar w:fldCharType="separate"/>
    </w:r>
    <w:r w:rsidR="0053374F" w:rsidRPr="0053374F">
      <w:rPr>
        <w:noProof/>
        <w:lang w:val="zh-CN"/>
      </w:rPr>
      <w:t>1</w:t>
    </w:r>
    <w:r>
      <w:fldChar w:fldCharType="end"/>
    </w:r>
  </w:p>
  <w:p w:rsidR="002C02E6" w:rsidRDefault="002C02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DDC" w:rsidRDefault="00117DDC">
      <w:r>
        <w:separator/>
      </w:r>
    </w:p>
  </w:footnote>
  <w:footnote w:type="continuationSeparator" w:id="0">
    <w:p w:rsidR="00117DDC" w:rsidRDefault="00117DDC">
      <w:r>
        <w:continuationSeparator/>
      </w:r>
    </w:p>
  </w:footnote>
  <w:footnote w:type="continuationNotice" w:id="1">
    <w:p w:rsidR="00117DDC" w:rsidRDefault="00117D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4B2"/>
    <w:multiLevelType w:val="hybridMultilevel"/>
    <w:tmpl w:val="BC1C0826"/>
    <w:lvl w:ilvl="0" w:tplc="C88C39D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7382163"/>
    <w:multiLevelType w:val="hybridMultilevel"/>
    <w:tmpl w:val="A816DF5C"/>
    <w:lvl w:ilvl="0" w:tplc="D278F8B0">
      <w:start w:val="1"/>
      <w:numFmt w:val="japaneseCounting"/>
      <w:lvlText w:val="（%1）"/>
      <w:lvlJc w:val="left"/>
      <w:pPr>
        <w:ind w:left="1720" w:hanging="1080"/>
      </w:pPr>
      <w:rPr>
        <w:rFonts w:hint="default"/>
      </w:rPr>
    </w:lvl>
    <w:lvl w:ilvl="1" w:tplc="55AAC8D4">
      <w:start w:val="1"/>
      <w:numFmt w:val="decimalEnclosedCircle"/>
      <w:lvlText w:val="%2"/>
      <w:lvlJc w:val="left"/>
      <w:pPr>
        <w:ind w:left="1420" w:hanging="360"/>
      </w:pPr>
      <w:rPr>
        <w:rFonts w:ascii="仿宋_GB2312" w:eastAsia="仿宋_GB2312" w:hAnsi="Calibri" w:cs="Times New Roman" w:hint="default"/>
        <w:sz w:val="32"/>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089E55C3"/>
    <w:multiLevelType w:val="hybridMultilevel"/>
    <w:tmpl w:val="458A4E9A"/>
    <w:lvl w:ilvl="0" w:tplc="4C5821F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08B95939"/>
    <w:multiLevelType w:val="hybridMultilevel"/>
    <w:tmpl w:val="627CA588"/>
    <w:lvl w:ilvl="0" w:tplc="32DCA2A6">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09CA2B57"/>
    <w:multiLevelType w:val="hybridMultilevel"/>
    <w:tmpl w:val="FB7440B4"/>
    <w:lvl w:ilvl="0" w:tplc="343A18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FD625F4"/>
    <w:multiLevelType w:val="multilevel"/>
    <w:tmpl w:val="4B1839BA"/>
    <w:lvl w:ilvl="0">
      <w:start w:val="1"/>
      <w:numFmt w:val="japaneseCounting"/>
      <w:lvlText w:val="%1、"/>
      <w:lvlJc w:val="left"/>
      <w:pPr>
        <w:tabs>
          <w:tab w:val="num" w:pos="840"/>
        </w:tabs>
        <w:ind w:left="840" w:hanging="4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nsid w:val="10D85986"/>
    <w:multiLevelType w:val="hybridMultilevel"/>
    <w:tmpl w:val="66AE9DE8"/>
    <w:lvl w:ilvl="0" w:tplc="73B8E16C">
      <w:start w:val="1"/>
      <w:numFmt w:val="japaneseCounting"/>
      <w:lvlText w:val="（%1）"/>
      <w:lvlJc w:val="left"/>
      <w:pPr>
        <w:ind w:left="2260" w:hanging="16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17E6149F"/>
    <w:multiLevelType w:val="hybridMultilevel"/>
    <w:tmpl w:val="D11CA524"/>
    <w:lvl w:ilvl="0" w:tplc="4EB84044">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8">
    <w:nsid w:val="1D3522F1"/>
    <w:multiLevelType w:val="hybridMultilevel"/>
    <w:tmpl w:val="4EE062E2"/>
    <w:lvl w:ilvl="0" w:tplc="830A8A18">
      <w:start w:val="4"/>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23B91C62"/>
    <w:multiLevelType w:val="multilevel"/>
    <w:tmpl w:val="CF94ED04"/>
    <w:lvl w:ilvl="0">
      <w:start w:val="1"/>
      <w:numFmt w:val="japaneseCounting"/>
      <w:lvlText w:val="%1、"/>
      <w:lvlJc w:val="left"/>
      <w:pPr>
        <w:tabs>
          <w:tab w:val="num" w:pos="420"/>
        </w:tabs>
        <w:ind w:left="420" w:hanging="420"/>
      </w:pPr>
      <w:rPr>
        <w:rFonts w:hint="default"/>
      </w:rPr>
    </w:lvl>
    <w:lvl w:ilvl="1">
      <w:start w:val="1"/>
      <w:numFmt w:val="chineseCountingThousand"/>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5893351"/>
    <w:multiLevelType w:val="hybridMultilevel"/>
    <w:tmpl w:val="D1F661EA"/>
    <w:lvl w:ilvl="0" w:tplc="4F221BB2">
      <w:start w:val="1"/>
      <w:numFmt w:val="japaneseCounting"/>
      <w:lvlText w:val="第%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26036E51"/>
    <w:multiLevelType w:val="multilevel"/>
    <w:tmpl w:val="D42897C6"/>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BAE7521"/>
    <w:multiLevelType w:val="hybridMultilevel"/>
    <w:tmpl w:val="27A64FB4"/>
    <w:lvl w:ilvl="0" w:tplc="4E381648">
      <w:start w:val="1"/>
      <w:numFmt w:val="japaneseCounting"/>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2E1E684E"/>
    <w:multiLevelType w:val="hybridMultilevel"/>
    <w:tmpl w:val="67A808E2"/>
    <w:lvl w:ilvl="0" w:tplc="B51EF256">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2E81463F"/>
    <w:multiLevelType w:val="hybridMultilevel"/>
    <w:tmpl w:val="DB3AEA94"/>
    <w:lvl w:ilvl="0" w:tplc="47C00970">
      <w:start w:val="1"/>
      <w:numFmt w:val="decimal"/>
      <w:lvlText w:val="%1."/>
      <w:lvlJc w:val="left"/>
      <w:pPr>
        <w:ind w:left="1000" w:hanging="360"/>
      </w:pPr>
      <w:rPr>
        <w:rFonts w:hint="default"/>
      </w:rPr>
    </w:lvl>
    <w:lvl w:ilvl="1" w:tplc="D8B66CFA">
      <w:start w:val="1"/>
      <w:numFmt w:val="decimalEnclosedCircle"/>
      <w:lvlText w:val="%2"/>
      <w:lvlJc w:val="left"/>
      <w:pPr>
        <w:ind w:left="1420" w:hanging="360"/>
      </w:pPr>
      <w:rPr>
        <w:rFonts w:hint="default"/>
      </w:r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nsid w:val="2FE934AA"/>
    <w:multiLevelType w:val="hybridMultilevel"/>
    <w:tmpl w:val="3422650C"/>
    <w:lvl w:ilvl="0" w:tplc="1ED67E50">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33421BFF"/>
    <w:multiLevelType w:val="hybridMultilevel"/>
    <w:tmpl w:val="2C94772C"/>
    <w:lvl w:ilvl="0" w:tplc="3BE4E4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47A6B4F"/>
    <w:multiLevelType w:val="hybridMultilevel"/>
    <w:tmpl w:val="8BF251B8"/>
    <w:lvl w:ilvl="0" w:tplc="07104020">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35153466"/>
    <w:multiLevelType w:val="hybridMultilevel"/>
    <w:tmpl w:val="4D18EE10"/>
    <w:lvl w:ilvl="0" w:tplc="34D435EE">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9">
    <w:nsid w:val="36C56B7D"/>
    <w:multiLevelType w:val="hybridMultilevel"/>
    <w:tmpl w:val="E59AFEFA"/>
    <w:lvl w:ilvl="0" w:tplc="FD8A37C8">
      <w:start w:val="1"/>
      <w:numFmt w:val="chineseCountingThousand"/>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D4B2056"/>
    <w:multiLevelType w:val="hybridMultilevel"/>
    <w:tmpl w:val="3ED4DC00"/>
    <w:lvl w:ilvl="0" w:tplc="B39CFE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897173C"/>
    <w:multiLevelType w:val="hybridMultilevel"/>
    <w:tmpl w:val="DFCC4F04"/>
    <w:lvl w:ilvl="0" w:tplc="AEE2817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B0B26A0"/>
    <w:multiLevelType w:val="hybridMultilevel"/>
    <w:tmpl w:val="32CA0132"/>
    <w:lvl w:ilvl="0" w:tplc="A4FE52A0">
      <w:start w:val="1"/>
      <w:numFmt w:val="japaneseCounting"/>
      <w:lvlText w:val="（%1）"/>
      <w:lvlJc w:val="left"/>
      <w:pPr>
        <w:ind w:left="2260" w:hanging="16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nsid w:val="5298673C"/>
    <w:multiLevelType w:val="hybridMultilevel"/>
    <w:tmpl w:val="4B1839BA"/>
    <w:lvl w:ilvl="0" w:tplc="41744C34">
      <w:start w:val="1"/>
      <w:numFmt w:val="japaneseCounting"/>
      <w:lvlText w:val="%1、"/>
      <w:lvlJc w:val="left"/>
      <w:pPr>
        <w:tabs>
          <w:tab w:val="num" w:pos="840"/>
        </w:tabs>
        <w:ind w:left="840" w:hanging="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4">
    <w:nsid w:val="5A0D79C6"/>
    <w:multiLevelType w:val="hybridMultilevel"/>
    <w:tmpl w:val="C44C480E"/>
    <w:lvl w:ilvl="0" w:tplc="B308CA86">
      <w:start w:val="1"/>
      <w:numFmt w:val="japaneseCounting"/>
      <w:lvlText w:val="%1、"/>
      <w:lvlJc w:val="left"/>
      <w:pPr>
        <w:tabs>
          <w:tab w:val="num" w:pos="420"/>
        </w:tabs>
        <w:ind w:left="420" w:hanging="420"/>
      </w:pPr>
      <w:rPr>
        <w:rFonts w:hint="default"/>
        <w:lang w:val="en-US"/>
      </w:rPr>
    </w:lvl>
    <w:lvl w:ilvl="1" w:tplc="FD8A37C8">
      <w:start w:val="1"/>
      <w:numFmt w:val="chineseCountingThousand"/>
      <w:lvlText w:val="（%2）"/>
      <w:lvlJc w:val="left"/>
      <w:pPr>
        <w:tabs>
          <w:tab w:val="num" w:pos="840"/>
        </w:tabs>
        <w:ind w:left="840" w:hanging="420"/>
      </w:pPr>
      <w:rPr>
        <w:rFonts w:hint="eastAsia"/>
      </w:rPr>
    </w:lvl>
    <w:lvl w:ilvl="2" w:tplc="619AA67C">
      <w:start w:val="1"/>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5B1746AD"/>
    <w:multiLevelType w:val="hybridMultilevel"/>
    <w:tmpl w:val="57CA7B38"/>
    <w:lvl w:ilvl="0" w:tplc="FD8A37C8">
      <w:start w:val="1"/>
      <w:numFmt w:val="chineseCountingThousand"/>
      <w:lvlText w:val="（%1）"/>
      <w:lvlJc w:val="left"/>
      <w:pPr>
        <w:tabs>
          <w:tab w:val="num" w:pos="840"/>
        </w:tabs>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FFB71B7"/>
    <w:multiLevelType w:val="hybridMultilevel"/>
    <w:tmpl w:val="21CE3C5E"/>
    <w:lvl w:ilvl="0" w:tplc="808871D2">
      <w:start w:val="1"/>
      <w:numFmt w:val="japaneseCounting"/>
      <w:lvlText w:val="第%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7">
    <w:nsid w:val="63BC6BC2"/>
    <w:multiLevelType w:val="hybridMultilevel"/>
    <w:tmpl w:val="1382DD4C"/>
    <w:lvl w:ilvl="0" w:tplc="1FF69906">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8">
    <w:nsid w:val="65A94DF5"/>
    <w:multiLevelType w:val="hybridMultilevel"/>
    <w:tmpl w:val="24785A04"/>
    <w:lvl w:ilvl="0" w:tplc="723CEB72">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9">
    <w:nsid w:val="6C8E5A1D"/>
    <w:multiLevelType w:val="hybridMultilevel"/>
    <w:tmpl w:val="A5424AE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D936360"/>
    <w:multiLevelType w:val="hybridMultilevel"/>
    <w:tmpl w:val="12C21674"/>
    <w:lvl w:ilvl="0" w:tplc="75E4481E">
      <w:start w:val="1"/>
      <w:numFmt w:val="decimal"/>
      <w:lvlText w:val="%1."/>
      <w:lvlJc w:val="left"/>
      <w:pPr>
        <w:ind w:left="1208" w:hanging="360"/>
      </w:pPr>
      <w:rPr>
        <w:rFonts w:hint="default"/>
      </w:rPr>
    </w:lvl>
    <w:lvl w:ilvl="1" w:tplc="04090019" w:tentative="1">
      <w:start w:val="1"/>
      <w:numFmt w:val="lowerLetter"/>
      <w:lvlText w:val="%2)"/>
      <w:lvlJc w:val="left"/>
      <w:pPr>
        <w:ind w:left="1688" w:hanging="420"/>
      </w:pPr>
    </w:lvl>
    <w:lvl w:ilvl="2" w:tplc="0409001B" w:tentative="1">
      <w:start w:val="1"/>
      <w:numFmt w:val="lowerRoman"/>
      <w:lvlText w:val="%3."/>
      <w:lvlJc w:val="right"/>
      <w:pPr>
        <w:ind w:left="2108" w:hanging="420"/>
      </w:pPr>
    </w:lvl>
    <w:lvl w:ilvl="3" w:tplc="0409000F" w:tentative="1">
      <w:start w:val="1"/>
      <w:numFmt w:val="decimal"/>
      <w:lvlText w:val="%4."/>
      <w:lvlJc w:val="left"/>
      <w:pPr>
        <w:ind w:left="2528" w:hanging="420"/>
      </w:pPr>
    </w:lvl>
    <w:lvl w:ilvl="4" w:tplc="04090019" w:tentative="1">
      <w:start w:val="1"/>
      <w:numFmt w:val="lowerLetter"/>
      <w:lvlText w:val="%5)"/>
      <w:lvlJc w:val="left"/>
      <w:pPr>
        <w:ind w:left="2948" w:hanging="420"/>
      </w:pPr>
    </w:lvl>
    <w:lvl w:ilvl="5" w:tplc="0409001B" w:tentative="1">
      <w:start w:val="1"/>
      <w:numFmt w:val="lowerRoman"/>
      <w:lvlText w:val="%6."/>
      <w:lvlJc w:val="right"/>
      <w:pPr>
        <w:ind w:left="3368" w:hanging="420"/>
      </w:pPr>
    </w:lvl>
    <w:lvl w:ilvl="6" w:tplc="0409000F" w:tentative="1">
      <w:start w:val="1"/>
      <w:numFmt w:val="decimal"/>
      <w:lvlText w:val="%7."/>
      <w:lvlJc w:val="left"/>
      <w:pPr>
        <w:ind w:left="3788" w:hanging="420"/>
      </w:pPr>
    </w:lvl>
    <w:lvl w:ilvl="7" w:tplc="04090019" w:tentative="1">
      <w:start w:val="1"/>
      <w:numFmt w:val="lowerLetter"/>
      <w:lvlText w:val="%8)"/>
      <w:lvlJc w:val="left"/>
      <w:pPr>
        <w:ind w:left="4208" w:hanging="420"/>
      </w:pPr>
    </w:lvl>
    <w:lvl w:ilvl="8" w:tplc="0409001B" w:tentative="1">
      <w:start w:val="1"/>
      <w:numFmt w:val="lowerRoman"/>
      <w:lvlText w:val="%9."/>
      <w:lvlJc w:val="right"/>
      <w:pPr>
        <w:ind w:left="4628" w:hanging="420"/>
      </w:pPr>
    </w:lvl>
  </w:abstractNum>
  <w:abstractNum w:abstractNumId="31">
    <w:nsid w:val="6FE45A9A"/>
    <w:multiLevelType w:val="multilevel"/>
    <w:tmpl w:val="E59AFEFA"/>
    <w:lvl w:ilvl="0">
      <w:start w:val="1"/>
      <w:numFmt w:val="chineseCountingThousand"/>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70D019E3"/>
    <w:multiLevelType w:val="hybridMultilevel"/>
    <w:tmpl w:val="191EF8A6"/>
    <w:lvl w:ilvl="0" w:tplc="CF58146E">
      <w:start w:val="1"/>
      <w:numFmt w:val="japaneseCounting"/>
      <w:lvlText w:val="第%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3">
    <w:nsid w:val="74DB4E87"/>
    <w:multiLevelType w:val="hybridMultilevel"/>
    <w:tmpl w:val="218C3E0C"/>
    <w:lvl w:ilvl="0" w:tplc="4C5821F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nsid w:val="780F228E"/>
    <w:multiLevelType w:val="hybridMultilevel"/>
    <w:tmpl w:val="83F4CD4C"/>
    <w:lvl w:ilvl="0" w:tplc="8C5E542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5">
    <w:nsid w:val="7A8E7893"/>
    <w:multiLevelType w:val="hybridMultilevel"/>
    <w:tmpl w:val="B0A89B3A"/>
    <w:lvl w:ilvl="0" w:tplc="854645A2">
      <w:start w:val="1"/>
      <w:numFmt w:val="decimalEnclosedCircle"/>
      <w:lvlText w:val="%1"/>
      <w:lvlJc w:val="left"/>
      <w:pPr>
        <w:ind w:left="1160" w:hanging="360"/>
      </w:pPr>
      <w:rPr>
        <w:rFonts w:ascii="仿宋" w:eastAsia="仿宋" w:hAnsi="仿宋"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6">
    <w:nsid w:val="7E8D2FB6"/>
    <w:multiLevelType w:val="hybridMultilevel"/>
    <w:tmpl w:val="538A52AE"/>
    <w:lvl w:ilvl="0" w:tplc="A40850C0">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6"/>
  </w:num>
  <w:num w:numId="3">
    <w:abstractNumId w:val="27"/>
  </w:num>
  <w:num w:numId="4">
    <w:abstractNumId w:val="20"/>
  </w:num>
  <w:num w:numId="5">
    <w:abstractNumId w:val="35"/>
  </w:num>
  <w:num w:numId="6">
    <w:abstractNumId w:val="1"/>
  </w:num>
  <w:num w:numId="7">
    <w:abstractNumId w:val="14"/>
  </w:num>
  <w:num w:numId="8">
    <w:abstractNumId w:val="17"/>
  </w:num>
  <w:num w:numId="9">
    <w:abstractNumId w:val="2"/>
  </w:num>
  <w:num w:numId="10">
    <w:abstractNumId w:val="33"/>
  </w:num>
  <w:num w:numId="11">
    <w:abstractNumId w:val="18"/>
  </w:num>
  <w:num w:numId="12">
    <w:abstractNumId w:val="10"/>
  </w:num>
  <w:num w:numId="13">
    <w:abstractNumId w:val="32"/>
  </w:num>
  <w:num w:numId="14">
    <w:abstractNumId w:val="26"/>
  </w:num>
  <w:num w:numId="15">
    <w:abstractNumId w:val="3"/>
  </w:num>
  <w:num w:numId="16">
    <w:abstractNumId w:val="28"/>
  </w:num>
  <w:num w:numId="17">
    <w:abstractNumId w:val="30"/>
  </w:num>
  <w:num w:numId="18">
    <w:abstractNumId w:val="12"/>
  </w:num>
  <w:num w:numId="19">
    <w:abstractNumId w:val="29"/>
  </w:num>
  <w:num w:numId="20">
    <w:abstractNumId w:val="24"/>
  </w:num>
  <w:num w:numId="21">
    <w:abstractNumId w:val="11"/>
  </w:num>
  <w:num w:numId="22">
    <w:abstractNumId w:val="9"/>
  </w:num>
  <w:num w:numId="23">
    <w:abstractNumId w:val="23"/>
  </w:num>
  <w:num w:numId="24">
    <w:abstractNumId w:val="5"/>
  </w:num>
  <w:num w:numId="25">
    <w:abstractNumId w:val="19"/>
  </w:num>
  <w:num w:numId="26">
    <w:abstractNumId w:val="31"/>
  </w:num>
  <w:num w:numId="27">
    <w:abstractNumId w:val="7"/>
  </w:num>
  <w:num w:numId="28">
    <w:abstractNumId w:val="4"/>
  </w:num>
  <w:num w:numId="29">
    <w:abstractNumId w:val="16"/>
  </w:num>
  <w:num w:numId="30">
    <w:abstractNumId w:val="0"/>
  </w:num>
  <w:num w:numId="31">
    <w:abstractNumId w:val="15"/>
  </w:num>
  <w:num w:numId="32">
    <w:abstractNumId w:val="25"/>
  </w:num>
  <w:num w:numId="33">
    <w:abstractNumId w:val="21"/>
  </w:num>
  <w:num w:numId="34">
    <w:abstractNumId w:val="36"/>
  </w:num>
  <w:num w:numId="35">
    <w:abstractNumId w:val="13"/>
  </w:num>
  <w:num w:numId="36">
    <w:abstractNumId w:val="3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o:allowoverlap="f" fill="f" fillcolor="white" stroke="f">
      <v:fill color="white" on="f"/>
      <v:stroke on="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2E6"/>
    <w:rsid w:val="00117DDC"/>
    <w:rsid w:val="002C02E6"/>
    <w:rsid w:val="00395E64"/>
    <w:rsid w:val="00442F83"/>
    <w:rsid w:val="0053374F"/>
    <w:rsid w:val="006427A2"/>
    <w:rsid w:val="006608EE"/>
    <w:rsid w:val="007A3DF5"/>
    <w:rsid w:val="007E7C86"/>
    <w:rsid w:val="008163CD"/>
    <w:rsid w:val="00A14599"/>
    <w:rsid w:val="00C04ADB"/>
    <w:rsid w:val="00C91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line="600" w:lineRule="exact"/>
      <w:jc w:val="center"/>
      <w:outlineLvl w:val="0"/>
    </w:pPr>
    <w:rPr>
      <w:rFonts w:ascii="Times New Roman" w:hAnsi="Times New Roman"/>
      <w:b/>
      <w:bCs/>
      <w:kern w:val="44"/>
      <w:sz w:val="44"/>
      <w:szCs w:val="44"/>
    </w:rPr>
  </w:style>
  <w:style w:type="paragraph" w:styleId="2">
    <w:name w:val="heading 2"/>
    <w:basedOn w:val="a"/>
    <w:next w:val="a"/>
    <w:link w:val="2Char"/>
    <w:unhideWhenUsed/>
    <w:qFormat/>
    <w:pPr>
      <w:keepNext/>
      <w:keepLines/>
      <w:spacing w:line="600" w:lineRule="exact"/>
      <w:ind w:firstLineChars="200" w:firstLine="200"/>
      <w:outlineLvl w:val="1"/>
    </w:pPr>
    <w:rPr>
      <w:rFonts w:ascii="Cambria" w:hAnsi="Cambria"/>
      <w:b/>
      <w:bCs/>
      <w:sz w:val="32"/>
      <w:szCs w:val="32"/>
    </w:rPr>
  </w:style>
  <w:style w:type="paragraph" w:styleId="3">
    <w:name w:val="heading 3"/>
    <w:basedOn w:val="a"/>
    <w:next w:val="a"/>
    <w:link w:val="3Char"/>
    <w:unhideWhenUsed/>
    <w:qFormat/>
    <w:pPr>
      <w:keepNext/>
      <w:keepLines/>
      <w:spacing w:line="600" w:lineRule="exact"/>
      <w:ind w:firstLineChars="200" w:firstLine="200"/>
      <w:outlineLvl w:val="2"/>
    </w:pPr>
    <w:rPr>
      <w:b/>
      <w:bCs/>
      <w:sz w:val="32"/>
      <w:szCs w:val="32"/>
    </w:rPr>
  </w:style>
  <w:style w:type="paragraph" w:styleId="4">
    <w:name w:val="heading 4"/>
    <w:basedOn w:val="a"/>
    <w:next w:val="a"/>
    <w:link w:val="4Char"/>
    <w:unhideWhenUsed/>
    <w:qFormat/>
    <w:pPr>
      <w:keepNext/>
      <w:keepLines/>
      <w:spacing w:line="600" w:lineRule="exact"/>
      <w:ind w:firstLineChars="200" w:firstLine="200"/>
      <w:outlineLvl w:val="3"/>
    </w:pPr>
    <w:rPr>
      <w:rFonts w:ascii="Cambria" w:hAnsi="Cambria"/>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firstLineChars="200" w:firstLine="420"/>
    </w:pPr>
  </w:style>
  <w:style w:type="paragraph" w:styleId="a5">
    <w:name w:val="Balloon Text"/>
    <w:basedOn w:val="a"/>
    <w:link w:val="Char"/>
    <w:unhideWhenUsed/>
    <w:rPr>
      <w:sz w:val="18"/>
      <w:szCs w:val="18"/>
    </w:rPr>
  </w:style>
  <w:style w:type="character" w:customStyle="1" w:styleId="Char">
    <w:name w:val="批注框文本 Char"/>
    <w:link w:val="a5"/>
    <w:uiPriority w:val="99"/>
    <w:semiHidden/>
    <w:rPr>
      <w:sz w:val="18"/>
      <w:szCs w:val="18"/>
    </w:rPr>
  </w:style>
  <w:style w:type="paragraph" w:styleId="a6">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Pr>
      <w:sz w:val="18"/>
      <w:szCs w:val="18"/>
    </w:rPr>
  </w:style>
  <w:style w:type="paragraph" w:styleId="a7">
    <w:name w:val="footer"/>
    <w:basedOn w:val="a"/>
    <w:link w:val="Char1"/>
    <w:uiPriority w:val="99"/>
    <w:unhideWhenUsed/>
    <w:pPr>
      <w:tabs>
        <w:tab w:val="center" w:pos="4153"/>
        <w:tab w:val="right" w:pos="8306"/>
      </w:tabs>
      <w:snapToGrid w:val="0"/>
      <w:jc w:val="left"/>
    </w:pPr>
    <w:rPr>
      <w:sz w:val="18"/>
      <w:szCs w:val="18"/>
    </w:rPr>
  </w:style>
  <w:style w:type="character" w:customStyle="1" w:styleId="Char1">
    <w:name w:val="页脚 Char"/>
    <w:link w:val="a7"/>
    <w:uiPriority w:val="99"/>
    <w:rPr>
      <w:sz w:val="18"/>
      <w:szCs w:val="18"/>
    </w:rPr>
  </w:style>
  <w:style w:type="character" w:styleId="a8">
    <w:name w:val="Hyperlink"/>
    <w:uiPriority w:val="99"/>
    <w:unhideWhenUsed/>
    <w:rPr>
      <w:color w:val="0000FF"/>
      <w:u w:val="single"/>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customStyle="1" w:styleId="1Char">
    <w:name w:val="标题 1 Char"/>
    <w:link w:val="1"/>
    <w:rPr>
      <w:rFonts w:ascii="Times New Roman" w:hAnsi="Times New Roman"/>
      <w:b/>
      <w:bCs/>
      <w:kern w:val="44"/>
      <w:sz w:val="44"/>
      <w:szCs w:val="44"/>
    </w:rPr>
  </w:style>
  <w:style w:type="character" w:customStyle="1" w:styleId="3Char">
    <w:name w:val="标题 3 Char"/>
    <w:link w:val="3"/>
    <w:rPr>
      <w:b/>
      <w:bCs/>
      <w:kern w:val="2"/>
      <w:sz w:val="32"/>
      <w:szCs w:val="32"/>
    </w:rPr>
  </w:style>
  <w:style w:type="paragraph" w:styleId="aa">
    <w:name w:val="Subtitle"/>
    <w:basedOn w:val="a"/>
    <w:next w:val="a"/>
    <w:link w:val="Char2"/>
    <w:qFormat/>
    <w:pPr>
      <w:spacing w:before="240" w:after="60" w:line="312" w:lineRule="auto"/>
      <w:jc w:val="center"/>
      <w:outlineLvl w:val="1"/>
    </w:pPr>
    <w:rPr>
      <w:rFonts w:ascii="Cambria" w:hAnsi="Cambria"/>
      <w:b/>
      <w:bCs/>
      <w:kern w:val="28"/>
      <w:sz w:val="32"/>
      <w:szCs w:val="32"/>
    </w:rPr>
  </w:style>
  <w:style w:type="character" w:customStyle="1" w:styleId="Char2">
    <w:name w:val="副标题 Char"/>
    <w:link w:val="aa"/>
    <w:rPr>
      <w:rFonts w:ascii="Cambria" w:hAnsi="Cambria"/>
      <w:b/>
      <w:bCs/>
      <w:kern w:val="28"/>
      <w:sz w:val="32"/>
      <w:szCs w:val="32"/>
    </w:rPr>
  </w:style>
  <w:style w:type="character" w:customStyle="1" w:styleId="2Char">
    <w:name w:val="标题 2 Char"/>
    <w:link w:val="2"/>
    <w:rPr>
      <w:rFonts w:ascii="Cambria" w:hAnsi="Cambria"/>
      <w:b/>
      <w:bCs/>
      <w:kern w:val="2"/>
      <w:sz w:val="32"/>
      <w:szCs w:val="32"/>
    </w:rPr>
  </w:style>
  <w:style w:type="character" w:customStyle="1" w:styleId="4Char">
    <w:name w:val="标题 4 Char"/>
    <w:link w:val="4"/>
    <w:rPr>
      <w:rFonts w:ascii="Cambria" w:hAnsi="Cambria"/>
      <w:bCs/>
      <w:kern w:val="2"/>
      <w:sz w:val="28"/>
      <w:szCs w:val="28"/>
    </w:rPr>
  </w:style>
  <w:style w:type="paragraph" w:styleId="ab">
    <w:name w:val="Document Map"/>
    <w:basedOn w:val="a"/>
    <w:link w:val="Char3"/>
    <w:rPr>
      <w:rFonts w:ascii="宋体" w:hAnsi="Times New Roman"/>
      <w:sz w:val="18"/>
      <w:szCs w:val="18"/>
    </w:rPr>
  </w:style>
  <w:style w:type="character" w:customStyle="1" w:styleId="Char3">
    <w:name w:val="文档结构图 Char"/>
    <w:link w:val="ab"/>
    <w:rPr>
      <w:rFonts w:ascii="宋体" w:hAnsi="Times New Roman"/>
      <w:kern w:val="2"/>
      <w:sz w:val="18"/>
      <w:szCs w:val="18"/>
    </w:rPr>
  </w:style>
  <w:style w:type="paragraph" w:styleId="ac">
    <w:name w:val="Title"/>
    <w:basedOn w:val="a"/>
    <w:next w:val="a"/>
    <w:link w:val="Char4"/>
    <w:qFormat/>
    <w:pPr>
      <w:spacing w:before="240" w:after="60" w:line="360" w:lineRule="auto"/>
      <w:ind w:firstLine="420"/>
      <w:jc w:val="center"/>
      <w:outlineLvl w:val="0"/>
    </w:pPr>
    <w:rPr>
      <w:rFonts w:ascii="Cambria" w:hAnsi="Cambria"/>
      <w:b/>
      <w:bCs/>
      <w:sz w:val="32"/>
      <w:szCs w:val="32"/>
    </w:rPr>
  </w:style>
  <w:style w:type="character" w:customStyle="1" w:styleId="Char4">
    <w:name w:val="标题 Char"/>
    <w:link w:val="ac"/>
    <w:rPr>
      <w:rFonts w:ascii="Cambria" w:hAnsi="Cambria"/>
      <w:b/>
      <w:bCs/>
      <w:kern w:val="2"/>
      <w:sz w:val="32"/>
      <w:szCs w:val="32"/>
    </w:rPr>
  </w:style>
  <w:style w:type="character" w:customStyle="1" w:styleId="ad">
    <w:name w:val="页眉 字符"/>
    <w:rPr>
      <w:kern w:val="2"/>
      <w:sz w:val="18"/>
      <w:szCs w:val="18"/>
    </w:rPr>
  </w:style>
  <w:style w:type="character" w:customStyle="1" w:styleId="ae">
    <w:name w:val="页脚 字符"/>
    <w:uiPriority w:val="99"/>
    <w:rPr>
      <w:kern w:val="2"/>
      <w:sz w:val="18"/>
      <w:szCs w:val="18"/>
    </w:rPr>
  </w:style>
  <w:style w:type="character" w:customStyle="1" w:styleId="af">
    <w:name w:val="批注框文本 字符"/>
    <w:rPr>
      <w:kern w:val="2"/>
      <w:sz w:val="18"/>
      <w:szCs w:val="18"/>
    </w:rPr>
  </w:style>
  <w:style w:type="paragraph" w:styleId="TOC">
    <w:name w:val="TOC Heading"/>
    <w:basedOn w:val="1"/>
    <w:next w:val="a"/>
    <w:uiPriority w:val="39"/>
    <w:unhideWhenUsed/>
    <w:qFormat/>
    <w:pPr>
      <w:widowControl/>
      <w:spacing w:before="480" w:line="276" w:lineRule="auto"/>
      <w:jc w:val="left"/>
      <w:outlineLvl w:val="9"/>
    </w:pPr>
    <w:rPr>
      <w:rFonts w:ascii="Cambria" w:hAnsi="Cambria"/>
      <w:color w:val="365F91"/>
      <w:kern w:val="0"/>
      <w:sz w:val="28"/>
      <w:szCs w:val="28"/>
    </w:rPr>
  </w:style>
  <w:style w:type="paragraph" w:styleId="10">
    <w:name w:val="toc 1"/>
    <w:basedOn w:val="a"/>
    <w:next w:val="a"/>
    <w:autoRedefine/>
    <w:uiPriority w:val="39"/>
    <w:rPr>
      <w:rFonts w:ascii="Times New Roman" w:hAnsi="Times New Roman"/>
      <w:szCs w:val="24"/>
    </w:rPr>
  </w:style>
  <w:style w:type="paragraph" w:styleId="20">
    <w:name w:val="toc 2"/>
    <w:basedOn w:val="a"/>
    <w:next w:val="a"/>
    <w:autoRedefine/>
    <w:uiPriority w:val="39"/>
    <w:pPr>
      <w:ind w:leftChars="200" w:left="420"/>
    </w:pPr>
    <w:rPr>
      <w:rFonts w:ascii="Times New Roman" w:hAnsi="Times New Roman"/>
      <w:szCs w:val="24"/>
    </w:rPr>
  </w:style>
  <w:style w:type="paragraph" w:styleId="30">
    <w:name w:val="toc 3"/>
    <w:basedOn w:val="a"/>
    <w:next w:val="a"/>
    <w:autoRedefine/>
    <w:uiPriority w:val="39"/>
    <w:pPr>
      <w:ind w:leftChars="400" w:left="840"/>
    </w:pPr>
    <w:rPr>
      <w:rFonts w:ascii="Times New Roman" w:hAnsi="Times New Roman"/>
      <w:szCs w:val="24"/>
    </w:rPr>
  </w:style>
  <w:style w:type="character" w:styleId="af0">
    <w:name w:val="page number"/>
  </w:style>
  <w:style w:type="paragraph" w:customStyle="1" w:styleId="11">
    <w:name w:val="列出段落1"/>
    <w:basedOn w:val="a"/>
    <w:uiPriority w:val="34"/>
    <w:qFormat/>
    <w:pPr>
      <w:ind w:firstLineChars="200" w:firstLine="420"/>
    </w:pPr>
  </w:style>
  <w:style w:type="character" w:customStyle="1" w:styleId="5Char">
    <w:name w:val="标题 5 Char"/>
    <w:link w:val="5"/>
    <w:uiPriority w:val="9"/>
    <w:rPr>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line="600" w:lineRule="exact"/>
      <w:jc w:val="center"/>
      <w:outlineLvl w:val="0"/>
    </w:pPr>
    <w:rPr>
      <w:rFonts w:ascii="Times New Roman" w:hAnsi="Times New Roman"/>
      <w:b/>
      <w:bCs/>
      <w:kern w:val="44"/>
      <w:sz w:val="44"/>
      <w:szCs w:val="44"/>
    </w:rPr>
  </w:style>
  <w:style w:type="paragraph" w:styleId="2">
    <w:name w:val="heading 2"/>
    <w:basedOn w:val="a"/>
    <w:next w:val="a"/>
    <w:link w:val="2Char"/>
    <w:unhideWhenUsed/>
    <w:qFormat/>
    <w:pPr>
      <w:keepNext/>
      <w:keepLines/>
      <w:spacing w:line="600" w:lineRule="exact"/>
      <w:ind w:firstLineChars="200" w:firstLine="200"/>
      <w:outlineLvl w:val="1"/>
    </w:pPr>
    <w:rPr>
      <w:rFonts w:ascii="Cambria" w:hAnsi="Cambria"/>
      <w:b/>
      <w:bCs/>
      <w:sz w:val="32"/>
      <w:szCs w:val="32"/>
    </w:rPr>
  </w:style>
  <w:style w:type="paragraph" w:styleId="3">
    <w:name w:val="heading 3"/>
    <w:basedOn w:val="a"/>
    <w:next w:val="a"/>
    <w:link w:val="3Char"/>
    <w:unhideWhenUsed/>
    <w:qFormat/>
    <w:pPr>
      <w:keepNext/>
      <w:keepLines/>
      <w:spacing w:line="600" w:lineRule="exact"/>
      <w:ind w:firstLineChars="200" w:firstLine="200"/>
      <w:outlineLvl w:val="2"/>
    </w:pPr>
    <w:rPr>
      <w:b/>
      <w:bCs/>
      <w:sz w:val="32"/>
      <w:szCs w:val="32"/>
    </w:rPr>
  </w:style>
  <w:style w:type="paragraph" w:styleId="4">
    <w:name w:val="heading 4"/>
    <w:basedOn w:val="a"/>
    <w:next w:val="a"/>
    <w:link w:val="4Char"/>
    <w:unhideWhenUsed/>
    <w:qFormat/>
    <w:pPr>
      <w:keepNext/>
      <w:keepLines/>
      <w:spacing w:line="600" w:lineRule="exact"/>
      <w:ind w:firstLineChars="200" w:firstLine="200"/>
      <w:outlineLvl w:val="3"/>
    </w:pPr>
    <w:rPr>
      <w:rFonts w:ascii="Cambria" w:hAnsi="Cambria"/>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firstLineChars="200" w:firstLine="420"/>
    </w:pPr>
  </w:style>
  <w:style w:type="paragraph" w:styleId="a5">
    <w:name w:val="Balloon Text"/>
    <w:basedOn w:val="a"/>
    <w:link w:val="Char"/>
    <w:unhideWhenUsed/>
    <w:rPr>
      <w:sz w:val="18"/>
      <w:szCs w:val="18"/>
    </w:rPr>
  </w:style>
  <w:style w:type="character" w:customStyle="1" w:styleId="Char">
    <w:name w:val="批注框文本 Char"/>
    <w:link w:val="a5"/>
    <w:uiPriority w:val="99"/>
    <w:semiHidden/>
    <w:rPr>
      <w:sz w:val="18"/>
      <w:szCs w:val="18"/>
    </w:rPr>
  </w:style>
  <w:style w:type="paragraph" w:styleId="a6">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Pr>
      <w:sz w:val="18"/>
      <w:szCs w:val="18"/>
    </w:rPr>
  </w:style>
  <w:style w:type="paragraph" w:styleId="a7">
    <w:name w:val="footer"/>
    <w:basedOn w:val="a"/>
    <w:link w:val="Char1"/>
    <w:uiPriority w:val="99"/>
    <w:unhideWhenUsed/>
    <w:pPr>
      <w:tabs>
        <w:tab w:val="center" w:pos="4153"/>
        <w:tab w:val="right" w:pos="8306"/>
      </w:tabs>
      <w:snapToGrid w:val="0"/>
      <w:jc w:val="left"/>
    </w:pPr>
    <w:rPr>
      <w:sz w:val="18"/>
      <w:szCs w:val="18"/>
    </w:rPr>
  </w:style>
  <w:style w:type="character" w:customStyle="1" w:styleId="Char1">
    <w:name w:val="页脚 Char"/>
    <w:link w:val="a7"/>
    <w:uiPriority w:val="99"/>
    <w:rPr>
      <w:sz w:val="18"/>
      <w:szCs w:val="18"/>
    </w:rPr>
  </w:style>
  <w:style w:type="character" w:styleId="a8">
    <w:name w:val="Hyperlink"/>
    <w:uiPriority w:val="99"/>
    <w:unhideWhenUsed/>
    <w:rPr>
      <w:color w:val="0000FF"/>
      <w:u w:val="single"/>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customStyle="1" w:styleId="1Char">
    <w:name w:val="标题 1 Char"/>
    <w:link w:val="1"/>
    <w:rPr>
      <w:rFonts w:ascii="Times New Roman" w:hAnsi="Times New Roman"/>
      <w:b/>
      <w:bCs/>
      <w:kern w:val="44"/>
      <w:sz w:val="44"/>
      <w:szCs w:val="44"/>
    </w:rPr>
  </w:style>
  <w:style w:type="character" w:customStyle="1" w:styleId="3Char">
    <w:name w:val="标题 3 Char"/>
    <w:link w:val="3"/>
    <w:rPr>
      <w:b/>
      <w:bCs/>
      <w:kern w:val="2"/>
      <w:sz w:val="32"/>
      <w:szCs w:val="32"/>
    </w:rPr>
  </w:style>
  <w:style w:type="paragraph" w:styleId="aa">
    <w:name w:val="Subtitle"/>
    <w:basedOn w:val="a"/>
    <w:next w:val="a"/>
    <w:link w:val="Char2"/>
    <w:qFormat/>
    <w:pPr>
      <w:spacing w:before="240" w:after="60" w:line="312" w:lineRule="auto"/>
      <w:jc w:val="center"/>
      <w:outlineLvl w:val="1"/>
    </w:pPr>
    <w:rPr>
      <w:rFonts w:ascii="Cambria" w:hAnsi="Cambria"/>
      <w:b/>
      <w:bCs/>
      <w:kern w:val="28"/>
      <w:sz w:val="32"/>
      <w:szCs w:val="32"/>
    </w:rPr>
  </w:style>
  <w:style w:type="character" w:customStyle="1" w:styleId="Char2">
    <w:name w:val="副标题 Char"/>
    <w:link w:val="aa"/>
    <w:rPr>
      <w:rFonts w:ascii="Cambria" w:hAnsi="Cambria"/>
      <w:b/>
      <w:bCs/>
      <w:kern w:val="28"/>
      <w:sz w:val="32"/>
      <w:szCs w:val="32"/>
    </w:rPr>
  </w:style>
  <w:style w:type="character" w:customStyle="1" w:styleId="2Char">
    <w:name w:val="标题 2 Char"/>
    <w:link w:val="2"/>
    <w:rPr>
      <w:rFonts w:ascii="Cambria" w:hAnsi="Cambria"/>
      <w:b/>
      <w:bCs/>
      <w:kern w:val="2"/>
      <w:sz w:val="32"/>
      <w:szCs w:val="32"/>
    </w:rPr>
  </w:style>
  <w:style w:type="character" w:customStyle="1" w:styleId="4Char">
    <w:name w:val="标题 4 Char"/>
    <w:link w:val="4"/>
    <w:rPr>
      <w:rFonts w:ascii="Cambria" w:hAnsi="Cambria"/>
      <w:bCs/>
      <w:kern w:val="2"/>
      <w:sz w:val="28"/>
      <w:szCs w:val="28"/>
    </w:rPr>
  </w:style>
  <w:style w:type="paragraph" w:styleId="ab">
    <w:name w:val="Document Map"/>
    <w:basedOn w:val="a"/>
    <w:link w:val="Char3"/>
    <w:rPr>
      <w:rFonts w:ascii="宋体" w:hAnsi="Times New Roman"/>
      <w:sz w:val="18"/>
      <w:szCs w:val="18"/>
    </w:rPr>
  </w:style>
  <w:style w:type="character" w:customStyle="1" w:styleId="Char3">
    <w:name w:val="文档结构图 Char"/>
    <w:link w:val="ab"/>
    <w:rPr>
      <w:rFonts w:ascii="宋体" w:hAnsi="Times New Roman"/>
      <w:kern w:val="2"/>
      <w:sz w:val="18"/>
      <w:szCs w:val="18"/>
    </w:rPr>
  </w:style>
  <w:style w:type="paragraph" w:styleId="ac">
    <w:name w:val="Title"/>
    <w:basedOn w:val="a"/>
    <w:next w:val="a"/>
    <w:link w:val="Char4"/>
    <w:qFormat/>
    <w:pPr>
      <w:spacing w:before="240" w:after="60" w:line="360" w:lineRule="auto"/>
      <w:ind w:firstLine="420"/>
      <w:jc w:val="center"/>
      <w:outlineLvl w:val="0"/>
    </w:pPr>
    <w:rPr>
      <w:rFonts w:ascii="Cambria" w:hAnsi="Cambria"/>
      <w:b/>
      <w:bCs/>
      <w:sz w:val="32"/>
      <w:szCs w:val="32"/>
    </w:rPr>
  </w:style>
  <w:style w:type="character" w:customStyle="1" w:styleId="Char4">
    <w:name w:val="标题 Char"/>
    <w:link w:val="ac"/>
    <w:rPr>
      <w:rFonts w:ascii="Cambria" w:hAnsi="Cambria"/>
      <w:b/>
      <w:bCs/>
      <w:kern w:val="2"/>
      <w:sz w:val="32"/>
      <w:szCs w:val="32"/>
    </w:rPr>
  </w:style>
  <w:style w:type="character" w:customStyle="1" w:styleId="ad">
    <w:name w:val="页眉 字符"/>
    <w:rPr>
      <w:kern w:val="2"/>
      <w:sz w:val="18"/>
      <w:szCs w:val="18"/>
    </w:rPr>
  </w:style>
  <w:style w:type="character" w:customStyle="1" w:styleId="ae">
    <w:name w:val="页脚 字符"/>
    <w:uiPriority w:val="99"/>
    <w:rPr>
      <w:kern w:val="2"/>
      <w:sz w:val="18"/>
      <w:szCs w:val="18"/>
    </w:rPr>
  </w:style>
  <w:style w:type="character" w:customStyle="1" w:styleId="af">
    <w:name w:val="批注框文本 字符"/>
    <w:rPr>
      <w:kern w:val="2"/>
      <w:sz w:val="18"/>
      <w:szCs w:val="18"/>
    </w:rPr>
  </w:style>
  <w:style w:type="paragraph" w:styleId="TOC">
    <w:name w:val="TOC Heading"/>
    <w:basedOn w:val="1"/>
    <w:next w:val="a"/>
    <w:uiPriority w:val="39"/>
    <w:unhideWhenUsed/>
    <w:qFormat/>
    <w:pPr>
      <w:widowControl/>
      <w:spacing w:before="480" w:line="276" w:lineRule="auto"/>
      <w:jc w:val="left"/>
      <w:outlineLvl w:val="9"/>
    </w:pPr>
    <w:rPr>
      <w:rFonts w:ascii="Cambria" w:hAnsi="Cambria"/>
      <w:color w:val="365F91"/>
      <w:kern w:val="0"/>
      <w:sz w:val="28"/>
      <w:szCs w:val="28"/>
    </w:rPr>
  </w:style>
  <w:style w:type="paragraph" w:styleId="10">
    <w:name w:val="toc 1"/>
    <w:basedOn w:val="a"/>
    <w:next w:val="a"/>
    <w:autoRedefine/>
    <w:uiPriority w:val="39"/>
    <w:rPr>
      <w:rFonts w:ascii="Times New Roman" w:hAnsi="Times New Roman"/>
      <w:szCs w:val="24"/>
    </w:rPr>
  </w:style>
  <w:style w:type="paragraph" w:styleId="20">
    <w:name w:val="toc 2"/>
    <w:basedOn w:val="a"/>
    <w:next w:val="a"/>
    <w:autoRedefine/>
    <w:uiPriority w:val="39"/>
    <w:pPr>
      <w:ind w:leftChars="200" w:left="420"/>
    </w:pPr>
    <w:rPr>
      <w:rFonts w:ascii="Times New Roman" w:hAnsi="Times New Roman"/>
      <w:szCs w:val="24"/>
    </w:rPr>
  </w:style>
  <w:style w:type="paragraph" w:styleId="30">
    <w:name w:val="toc 3"/>
    <w:basedOn w:val="a"/>
    <w:next w:val="a"/>
    <w:autoRedefine/>
    <w:uiPriority w:val="39"/>
    <w:pPr>
      <w:ind w:leftChars="400" w:left="840"/>
    </w:pPr>
    <w:rPr>
      <w:rFonts w:ascii="Times New Roman" w:hAnsi="Times New Roman"/>
      <w:szCs w:val="24"/>
    </w:rPr>
  </w:style>
  <w:style w:type="character" w:styleId="af0">
    <w:name w:val="page number"/>
  </w:style>
  <w:style w:type="paragraph" w:customStyle="1" w:styleId="11">
    <w:name w:val="列出段落1"/>
    <w:basedOn w:val="a"/>
    <w:uiPriority w:val="34"/>
    <w:qFormat/>
    <w:pPr>
      <w:ind w:firstLineChars="200" w:firstLine="420"/>
    </w:pPr>
  </w:style>
  <w:style w:type="character" w:customStyle="1" w:styleId="5Char">
    <w:name w:val="标题 5 Char"/>
    <w:link w:val="5"/>
    <w:uiPriority w:val="9"/>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9567">
      <w:bodyDiv w:val="1"/>
      <w:marLeft w:val="0"/>
      <w:marRight w:val="0"/>
      <w:marTop w:val="0"/>
      <w:marBottom w:val="0"/>
      <w:divBdr>
        <w:top w:val="none" w:sz="0" w:space="0" w:color="auto"/>
        <w:left w:val="none" w:sz="0" w:space="0" w:color="auto"/>
        <w:bottom w:val="none" w:sz="0" w:space="0" w:color="auto"/>
        <w:right w:val="none" w:sz="0" w:space="0" w:color="auto"/>
      </w:divBdr>
    </w:div>
    <w:div w:id="202324802">
      <w:bodyDiv w:val="1"/>
      <w:marLeft w:val="0"/>
      <w:marRight w:val="0"/>
      <w:marTop w:val="0"/>
      <w:marBottom w:val="0"/>
      <w:divBdr>
        <w:top w:val="none" w:sz="0" w:space="0" w:color="auto"/>
        <w:left w:val="none" w:sz="0" w:space="0" w:color="auto"/>
        <w:bottom w:val="none" w:sz="0" w:space="0" w:color="auto"/>
        <w:right w:val="none" w:sz="0" w:space="0" w:color="auto"/>
      </w:divBdr>
      <w:divsChild>
        <w:div w:id="37291468">
          <w:marLeft w:val="0"/>
          <w:marRight w:val="0"/>
          <w:marTop w:val="0"/>
          <w:marBottom w:val="225"/>
          <w:divBdr>
            <w:top w:val="none" w:sz="0" w:space="0" w:color="auto"/>
            <w:left w:val="none" w:sz="0" w:space="0" w:color="auto"/>
            <w:bottom w:val="none" w:sz="0" w:space="0" w:color="auto"/>
            <w:right w:val="none" w:sz="0" w:space="0" w:color="auto"/>
          </w:divBdr>
        </w:div>
        <w:div w:id="646208630">
          <w:marLeft w:val="0"/>
          <w:marRight w:val="0"/>
          <w:marTop w:val="0"/>
          <w:marBottom w:val="225"/>
          <w:divBdr>
            <w:top w:val="none" w:sz="0" w:space="0" w:color="auto"/>
            <w:left w:val="none" w:sz="0" w:space="0" w:color="auto"/>
            <w:bottom w:val="none" w:sz="0" w:space="0" w:color="auto"/>
            <w:right w:val="none" w:sz="0" w:space="0" w:color="auto"/>
          </w:divBdr>
        </w:div>
        <w:div w:id="833300740">
          <w:marLeft w:val="0"/>
          <w:marRight w:val="0"/>
          <w:marTop w:val="0"/>
          <w:marBottom w:val="225"/>
          <w:divBdr>
            <w:top w:val="none" w:sz="0" w:space="0" w:color="auto"/>
            <w:left w:val="none" w:sz="0" w:space="0" w:color="auto"/>
            <w:bottom w:val="none" w:sz="0" w:space="0" w:color="auto"/>
            <w:right w:val="none" w:sz="0" w:space="0" w:color="auto"/>
          </w:divBdr>
        </w:div>
        <w:div w:id="1180436224">
          <w:marLeft w:val="0"/>
          <w:marRight w:val="0"/>
          <w:marTop w:val="0"/>
          <w:marBottom w:val="225"/>
          <w:divBdr>
            <w:top w:val="none" w:sz="0" w:space="0" w:color="auto"/>
            <w:left w:val="none" w:sz="0" w:space="0" w:color="auto"/>
            <w:bottom w:val="none" w:sz="0" w:space="0" w:color="auto"/>
            <w:right w:val="none" w:sz="0" w:space="0" w:color="auto"/>
          </w:divBdr>
        </w:div>
        <w:div w:id="1356426306">
          <w:marLeft w:val="0"/>
          <w:marRight w:val="0"/>
          <w:marTop w:val="0"/>
          <w:marBottom w:val="225"/>
          <w:divBdr>
            <w:top w:val="none" w:sz="0" w:space="0" w:color="auto"/>
            <w:left w:val="none" w:sz="0" w:space="0" w:color="auto"/>
            <w:bottom w:val="none" w:sz="0" w:space="0" w:color="auto"/>
            <w:right w:val="none" w:sz="0" w:space="0" w:color="auto"/>
          </w:divBdr>
        </w:div>
        <w:div w:id="2089881461">
          <w:marLeft w:val="0"/>
          <w:marRight w:val="0"/>
          <w:marTop w:val="0"/>
          <w:marBottom w:val="225"/>
          <w:divBdr>
            <w:top w:val="none" w:sz="0" w:space="0" w:color="auto"/>
            <w:left w:val="none" w:sz="0" w:space="0" w:color="auto"/>
            <w:bottom w:val="none" w:sz="0" w:space="0" w:color="auto"/>
            <w:right w:val="none" w:sz="0" w:space="0" w:color="auto"/>
          </w:divBdr>
        </w:div>
      </w:divsChild>
    </w:div>
    <w:div w:id="700470029">
      <w:bodyDiv w:val="1"/>
      <w:marLeft w:val="0"/>
      <w:marRight w:val="0"/>
      <w:marTop w:val="0"/>
      <w:marBottom w:val="0"/>
      <w:divBdr>
        <w:top w:val="none" w:sz="0" w:space="0" w:color="auto"/>
        <w:left w:val="none" w:sz="0" w:space="0" w:color="auto"/>
        <w:bottom w:val="none" w:sz="0" w:space="0" w:color="auto"/>
        <w:right w:val="none" w:sz="0" w:space="0" w:color="auto"/>
      </w:divBdr>
    </w:div>
    <w:div w:id="1993827943">
      <w:bodyDiv w:val="1"/>
      <w:marLeft w:val="0"/>
      <w:marRight w:val="0"/>
      <w:marTop w:val="0"/>
      <w:marBottom w:val="0"/>
      <w:divBdr>
        <w:top w:val="none" w:sz="0" w:space="0" w:color="auto"/>
        <w:left w:val="none" w:sz="0" w:space="0" w:color="auto"/>
        <w:bottom w:val="none" w:sz="0" w:space="0" w:color="auto"/>
        <w:right w:val="none" w:sz="0" w:space="0" w:color="auto"/>
      </w:divBdr>
    </w:div>
    <w:div w:id="201926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5%8D%95%E4%BB%B7"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javascript:__doPostBack('ctl00$MainContent$GridViewItem','select$7')"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hyperlink" Target="https://baike.baidu.com/item/%E5%9B%BA%E5%AE%9A%E6%88%90%E6%9C%AC"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aike.baidu.com/item/%E5%AE%9A%E9%87%8F%E5%88%86%E6%9E%90%E6%96%B9%E6%B3%95"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DCE29-07BA-453A-80E9-FC9B2ACF8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87</Pages>
  <Words>5969</Words>
  <Characters>34024</Characters>
  <Application>Microsoft Office Word</Application>
  <DocSecurity>0</DocSecurity>
  <Lines>283</Lines>
  <Paragraphs>79</Paragraphs>
  <ScaleCrop>false</ScaleCrop>
  <Company>Lenovo (Beijing) Limited</Company>
  <LinksUpToDate>false</LinksUpToDate>
  <CharactersWithSpaces>39914</CharactersWithSpaces>
  <SharedDoc>false</SharedDoc>
  <HLinks>
    <vt:vector size="342" baseType="variant">
      <vt:variant>
        <vt:i4>1835056</vt:i4>
      </vt:variant>
      <vt:variant>
        <vt:i4>320</vt:i4>
      </vt:variant>
      <vt:variant>
        <vt:i4>0</vt:i4>
      </vt:variant>
      <vt:variant>
        <vt:i4>5</vt:i4>
      </vt:variant>
      <vt:variant>
        <vt:lpwstr/>
      </vt:variant>
      <vt:variant>
        <vt:lpwstr>_Toc500143193</vt:lpwstr>
      </vt:variant>
      <vt:variant>
        <vt:i4>1835056</vt:i4>
      </vt:variant>
      <vt:variant>
        <vt:i4>314</vt:i4>
      </vt:variant>
      <vt:variant>
        <vt:i4>0</vt:i4>
      </vt:variant>
      <vt:variant>
        <vt:i4>5</vt:i4>
      </vt:variant>
      <vt:variant>
        <vt:lpwstr/>
      </vt:variant>
      <vt:variant>
        <vt:lpwstr>_Toc500143192</vt:lpwstr>
      </vt:variant>
      <vt:variant>
        <vt:i4>1835056</vt:i4>
      </vt:variant>
      <vt:variant>
        <vt:i4>308</vt:i4>
      </vt:variant>
      <vt:variant>
        <vt:i4>0</vt:i4>
      </vt:variant>
      <vt:variant>
        <vt:i4>5</vt:i4>
      </vt:variant>
      <vt:variant>
        <vt:lpwstr/>
      </vt:variant>
      <vt:variant>
        <vt:lpwstr>_Toc500143191</vt:lpwstr>
      </vt:variant>
      <vt:variant>
        <vt:i4>1835056</vt:i4>
      </vt:variant>
      <vt:variant>
        <vt:i4>302</vt:i4>
      </vt:variant>
      <vt:variant>
        <vt:i4>0</vt:i4>
      </vt:variant>
      <vt:variant>
        <vt:i4>5</vt:i4>
      </vt:variant>
      <vt:variant>
        <vt:lpwstr/>
      </vt:variant>
      <vt:variant>
        <vt:lpwstr>_Toc500143190</vt:lpwstr>
      </vt:variant>
      <vt:variant>
        <vt:i4>1900592</vt:i4>
      </vt:variant>
      <vt:variant>
        <vt:i4>296</vt:i4>
      </vt:variant>
      <vt:variant>
        <vt:i4>0</vt:i4>
      </vt:variant>
      <vt:variant>
        <vt:i4>5</vt:i4>
      </vt:variant>
      <vt:variant>
        <vt:lpwstr/>
      </vt:variant>
      <vt:variant>
        <vt:lpwstr>_Toc500143189</vt:lpwstr>
      </vt:variant>
      <vt:variant>
        <vt:i4>1900592</vt:i4>
      </vt:variant>
      <vt:variant>
        <vt:i4>290</vt:i4>
      </vt:variant>
      <vt:variant>
        <vt:i4>0</vt:i4>
      </vt:variant>
      <vt:variant>
        <vt:i4>5</vt:i4>
      </vt:variant>
      <vt:variant>
        <vt:lpwstr/>
      </vt:variant>
      <vt:variant>
        <vt:lpwstr>_Toc500143188</vt:lpwstr>
      </vt:variant>
      <vt:variant>
        <vt:i4>1900592</vt:i4>
      </vt:variant>
      <vt:variant>
        <vt:i4>284</vt:i4>
      </vt:variant>
      <vt:variant>
        <vt:i4>0</vt:i4>
      </vt:variant>
      <vt:variant>
        <vt:i4>5</vt:i4>
      </vt:variant>
      <vt:variant>
        <vt:lpwstr/>
      </vt:variant>
      <vt:variant>
        <vt:lpwstr>_Toc500143187</vt:lpwstr>
      </vt:variant>
      <vt:variant>
        <vt:i4>1900592</vt:i4>
      </vt:variant>
      <vt:variant>
        <vt:i4>278</vt:i4>
      </vt:variant>
      <vt:variant>
        <vt:i4>0</vt:i4>
      </vt:variant>
      <vt:variant>
        <vt:i4>5</vt:i4>
      </vt:variant>
      <vt:variant>
        <vt:lpwstr/>
      </vt:variant>
      <vt:variant>
        <vt:lpwstr>_Toc500143186</vt:lpwstr>
      </vt:variant>
      <vt:variant>
        <vt:i4>1900592</vt:i4>
      </vt:variant>
      <vt:variant>
        <vt:i4>272</vt:i4>
      </vt:variant>
      <vt:variant>
        <vt:i4>0</vt:i4>
      </vt:variant>
      <vt:variant>
        <vt:i4>5</vt:i4>
      </vt:variant>
      <vt:variant>
        <vt:lpwstr/>
      </vt:variant>
      <vt:variant>
        <vt:lpwstr>_Toc500143185</vt:lpwstr>
      </vt:variant>
      <vt:variant>
        <vt:i4>1900592</vt:i4>
      </vt:variant>
      <vt:variant>
        <vt:i4>266</vt:i4>
      </vt:variant>
      <vt:variant>
        <vt:i4>0</vt:i4>
      </vt:variant>
      <vt:variant>
        <vt:i4>5</vt:i4>
      </vt:variant>
      <vt:variant>
        <vt:lpwstr/>
      </vt:variant>
      <vt:variant>
        <vt:lpwstr>_Toc500143184</vt:lpwstr>
      </vt:variant>
      <vt:variant>
        <vt:i4>1900592</vt:i4>
      </vt:variant>
      <vt:variant>
        <vt:i4>260</vt:i4>
      </vt:variant>
      <vt:variant>
        <vt:i4>0</vt:i4>
      </vt:variant>
      <vt:variant>
        <vt:i4>5</vt:i4>
      </vt:variant>
      <vt:variant>
        <vt:lpwstr/>
      </vt:variant>
      <vt:variant>
        <vt:lpwstr>_Toc500143183</vt:lpwstr>
      </vt:variant>
      <vt:variant>
        <vt:i4>3342381</vt:i4>
      </vt:variant>
      <vt:variant>
        <vt:i4>255</vt:i4>
      </vt:variant>
      <vt:variant>
        <vt:i4>0</vt:i4>
      </vt:variant>
      <vt:variant>
        <vt:i4>5</vt:i4>
      </vt:variant>
      <vt:variant>
        <vt:lpwstr>javascript:__doPostBack('ctl00$MainContent$GridViewItem','select$7')</vt:lpwstr>
      </vt:variant>
      <vt:variant>
        <vt:lpwstr/>
      </vt:variant>
      <vt:variant>
        <vt:i4>6684729</vt:i4>
      </vt:variant>
      <vt:variant>
        <vt:i4>252</vt:i4>
      </vt:variant>
      <vt:variant>
        <vt:i4>0</vt:i4>
      </vt:variant>
      <vt:variant>
        <vt:i4>5</vt:i4>
      </vt:variant>
      <vt:variant>
        <vt:lpwstr>https://baike.baidu.com/item/%E5%AE%9A%E9%87%8F%E5%88%86%E6%9E%90%E6%96%B9%E6%B3%95</vt:lpwstr>
      </vt:variant>
      <vt:variant>
        <vt:lpwstr/>
      </vt:variant>
      <vt:variant>
        <vt:i4>4128822</vt:i4>
      </vt:variant>
      <vt:variant>
        <vt:i4>249</vt:i4>
      </vt:variant>
      <vt:variant>
        <vt:i4>0</vt:i4>
      </vt:variant>
      <vt:variant>
        <vt:i4>5</vt:i4>
      </vt:variant>
      <vt:variant>
        <vt:lpwstr>https://baike.baidu.com/item/%E5%8D%95%E4%BB%B7</vt:lpwstr>
      </vt:variant>
      <vt:variant>
        <vt:lpwstr/>
      </vt:variant>
      <vt:variant>
        <vt:i4>4849734</vt:i4>
      </vt:variant>
      <vt:variant>
        <vt:i4>246</vt:i4>
      </vt:variant>
      <vt:variant>
        <vt:i4>0</vt:i4>
      </vt:variant>
      <vt:variant>
        <vt:i4>5</vt:i4>
      </vt:variant>
      <vt:variant>
        <vt:lpwstr>https://baike.baidu.com/item/%E5%9B%BA%E5%AE%9A%E6%88%90%E6%9C%AC</vt:lpwstr>
      </vt:variant>
      <vt:variant>
        <vt:lpwstr/>
      </vt:variant>
      <vt:variant>
        <vt:i4>1703986</vt:i4>
      </vt:variant>
      <vt:variant>
        <vt:i4>239</vt:i4>
      </vt:variant>
      <vt:variant>
        <vt:i4>0</vt:i4>
      </vt:variant>
      <vt:variant>
        <vt:i4>5</vt:i4>
      </vt:variant>
      <vt:variant>
        <vt:lpwstr/>
      </vt:variant>
      <vt:variant>
        <vt:lpwstr>_Toc517129248</vt:lpwstr>
      </vt:variant>
      <vt:variant>
        <vt:i4>1703986</vt:i4>
      </vt:variant>
      <vt:variant>
        <vt:i4>233</vt:i4>
      </vt:variant>
      <vt:variant>
        <vt:i4>0</vt:i4>
      </vt:variant>
      <vt:variant>
        <vt:i4>5</vt:i4>
      </vt:variant>
      <vt:variant>
        <vt:lpwstr/>
      </vt:variant>
      <vt:variant>
        <vt:lpwstr>_Toc517129247</vt:lpwstr>
      </vt:variant>
      <vt:variant>
        <vt:i4>1703986</vt:i4>
      </vt:variant>
      <vt:variant>
        <vt:i4>227</vt:i4>
      </vt:variant>
      <vt:variant>
        <vt:i4>0</vt:i4>
      </vt:variant>
      <vt:variant>
        <vt:i4>5</vt:i4>
      </vt:variant>
      <vt:variant>
        <vt:lpwstr/>
      </vt:variant>
      <vt:variant>
        <vt:lpwstr>_Toc517129246</vt:lpwstr>
      </vt:variant>
      <vt:variant>
        <vt:i4>1703986</vt:i4>
      </vt:variant>
      <vt:variant>
        <vt:i4>221</vt:i4>
      </vt:variant>
      <vt:variant>
        <vt:i4>0</vt:i4>
      </vt:variant>
      <vt:variant>
        <vt:i4>5</vt:i4>
      </vt:variant>
      <vt:variant>
        <vt:lpwstr/>
      </vt:variant>
      <vt:variant>
        <vt:lpwstr>_Toc517129245</vt:lpwstr>
      </vt:variant>
      <vt:variant>
        <vt:i4>1703986</vt:i4>
      </vt:variant>
      <vt:variant>
        <vt:i4>215</vt:i4>
      </vt:variant>
      <vt:variant>
        <vt:i4>0</vt:i4>
      </vt:variant>
      <vt:variant>
        <vt:i4>5</vt:i4>
      </vt:variant>
      <vt:variant>
        <vt:lpwstr/>
      </vt:variant>
      <vt:variant>
        <vt:lpwstr>_Toc517129244</vt:lpwstr>
      </vt:variant>
      <vt:variant>
        <vt:i4>1703986</vt:i4>
      </vt:variant>
      <vt:variant>
        <vt:i4>209</vt:i4>
      </vt:variant>
      <vt:variant>
        <vt:i4>0</vt:i4>
      </vt:variant>
      <vt:variant>
        <vt:i4>5</vt:i4>
      </vt:variant>
      <vt:variant>
        <vt:lpwstr/>
      </vt:variant>
      <vt:variant>
        <vt:lpwstr>_Toc517129243</vt:lpwstr>
      </vt:variant>
      <vt:variant>
        <vt:i4>1703986</vt:i4>
      </vt:variant>
      <vt:variant>
        <vt:i4>203</vt:i4>
      </vt:variant>
      <vt:variant>
        <vt:i4>0</vt:i4>
      </vt:variant>
      <vt:variant>
        <vt:i4>5</vt:i4>
      </vt:variant>
      <vt:variant>
        <vt:lpwstr/>
      </vt:variant>
      <vt:variant>
        <vt:lpwstr>_Toc517129242</vt:lpwstr>
      </vt:variant>
      <vt:variant>
        <vt:i4>1703986</vt:i4>
      </vt:variant>
      <vt:variant>
        <vt:i4>197</vt:i4>
      </vt:variant>
      <vt:variant>
        <vt:i4>0</vt:i4>
      </vt:variant>
      <vt:variant>
        <vt:i4>5</vt:i4>
      </vt:variant>
      <vt:variant>
        <vt:lpwstr/>
      </vt:variant>
      <vt:variant>
        <vt:lpwstr>_Toc517129241</vt:lpwstr>
      </vt:variant>
      <vt:variant>
        <vt:i4>1703986</vt:i4>
      </vt:variant>
      <vt:variant>
        <vt:i4>191</vt:i4>
      </vt:variant>
      <vt:variant>
        <vt:i4>0</vt:i4>
      </vt:variant>
      <vt:variant>
        <vt:i4>5</vt:i4>
      </vt:variant>
      <vt:variant>
        <vt:lpwstr/>
      </vt:variant>
      <vt:variant>
        <vt:lpwstr>_Toc517129240</vt:lpwstr>
      </vt:variant>
      <vt:variant>
        <vt:i4>1900594</vt:i4>
      </vt:variant>
      <vt:variant>
        <vt:i4>185</vt:i4>
      </vt:variant>
      <vt:variant>
        <vt:i4>0</vt:i4>
      </vt:variant>
      <vt:variant>
        <vt:i4>5</vt:i4>
      </vt:variant>
      <vt:variant>
        <vt:lpwstr/>
      </vt:variant>
      <vt:variant>
        <vt:lpwstr>_Toc517129239</vt:lpwstr>
      </vt:variant>
      <vt:variant>
        <vt:i4>1900594</vt:i4>
      </vt:variant>
      <vt:variant>
        <vt:i4>179</vt:i4>
      </vt:variant>
      <vt:variant>
        <vt:i4>0</vt:i4>
      </vt:variant>
      <vt:variant>
        <vt:i4>5</vt:i4>
      </vt:variant>
      <vt:variant>
        <vt:lpwstr/>
      </vt:variant>
      <vt:variant>
        <vt:lpwstr>_Toc517129238</vt:lpwstr>
      </vt:variant>
      <vt:variant>
        <vt:i4>1900594</vt:i4>
      </vt:variant>
      <vt:variant>
        <vt:i4>173</vt:i4>
      </vt:variant>
      <vt:variant>
        <vt:i4>0</vt:i4>
      </vt:variant>
      <vt:variant>
        <vt:i4>5</vt:i4>
      </vt:variant>
      <vt:variant>
        <vt:lpwstr/>
      </vt:variant>
      <vt:variant>
        <vt:lpwstr>_Toc517129237</vt:lpwstr>
      </vt:variant>
      <vt:variant>
        <vt:i4>1900594</vt:i4>
      </vt:variant>
      <vt:variant>
        <vt:i4>167</vt:i4>
      </vt:variant>
      <vt:variant>
        <vt:i4>0</vt:i4>
      </vt:variant>
      <vt:variant>
        <vt:i4>5</vt:i4>
      </vt:variant>
      <vt:variant>
        <vt:lpwstr/>
      </vt:variant>
      <vt:variant>
        <vt:lpwstr>_Toc517129236</vt:lpwstr>
      </vt:variant>
      <vt:variant>
        <vt:i4>1900594</vt:i4>
      </vt:variant>
      <vt:variant>
        <vt:i4>161</vt:i4>
      </vt:variant>
      <vt:variant>
        <vt:i4>0</vt:i4>
      </vt:variant>
      <vt:variant>
        <vt:i4>5</vt:i4>
      </vt:variant>
      <vt:variant>
        <vt:lpwstr/>
      </vt:variant>
      <vt:variant>
        <vt:lpwstr>_Toc517129235</vt:lpwstr>
      </vt:variant>
      <vt:variant>
        <vt:i4>1900594</vt:i4>
      </vt:variant>
      <vt:variant>
        <vt:i4>155</vt:i4>
      </vt:variant>
      <vt:variant>
        <vt:i4>0</vt:i4>
      </vt:variant>
      <vt:variant>
        <vt:i4>5</vt:i4>
      </vt:variant>
      <vt:variant>
        <vt:lpwstr/>
      </vt:variant>
      <vt:variant>
        <vt:lpwstr>_Toc517129234</vt:lpwstr>
      </vt:variant>
      <vt:variant>
        <vt:i4>1900594</vt:i4>
      </vt:variant>
      <vt:variant>
        <vt:i4>149</vt:i4>
      </vt:variant>
      <vt:variant>
        <vt:i4>0</vt:i4>
      </vt:variant>
      <vt:variant>
        <vt:i4>5</vt:i4>
      </vt:variant>
      <vt:variant>
        <vt:lpwstr/>
      </vt:variant>
      <vt:variant>
        <vt:lpwstr>_Toc517129233</vt:lpwstr>
      </vt:variant>
      <vt:variant>
        <vt:i4>1900594</vt:i4>
      </vt:variant>
      <vt:variant>
        <vt:i4>143</vt:i4>
      </vt:variant>
      <vt:variant>
        <vt:i4>0</vt:i4>
      </vt:variant>
      <vt:variant>
        <vt:i4>5</vt:i4>
      </vt:variant>
      <vt:variant>
        <vt:lpwstr/>
      </vt:variant>
      <vt:variant>
        <vt:lpwstr>_Toc517129232</vt:lpwstr>
      </vt:variant>
      <vt:variant>
        <vt:i4>1900594</vt:i4>
      </vt:variant>
      <vt:variant>
        <vt:i4>137</vt:i4>
      </vt:variant>
      <vt:variant>
        <vt:i4>0</vt:i4>
      </vt:variant>
      <vt:variant>
        <vt:i4>5</vt:i4>
      </vt:variant>
      <vt:variant>
        <vt:lpwstr/>
      </vt:variant>
      <vt:variant>
        <vt:lpwstr>_Toc517129231</vt:lpwstr>
      </vt:variant>
      <vt:variant>
        <vt:i4>1900594</vt:i4>
      </vt:variant>
      <vt:variant>
        <vt:i4>131</vt:i4>
      </vt:variant>
      <vt:variant>
        <vt:i4>0</vt:i4>
      </vt:variant>
      <vt:variant>
        <vt:i4>5</vt:i4>
      </vt:variant>
      <vt:variant>
        <vt:lpwstr/>
      </vt:variant>
      <vt:variant>
        <vt:lpwstr>_Toc517129230</vt:lpwstr>
      </vt:variant>
      <vt:variant>
        <vt:i4>1835058</vt:i4>
      </vt:variant>
      <vt:variant>
        <vt:i4>125</vt:i4>
      </vt:variant>
      <vt:variant>
        <vt:i4>0</vt:i4>
      </vt:variant>
      <vt:variant>
        <vt:i4>5</vt:i4>
      </vt:variant>
      <vt:variant>
        <vt:lpwstr/>
      </vt:variant>
      <vt:variant>
        <vt:lpwstr>_Toc517129229</vt:lpwstr>
      </vt:variant>
      <vt:variant>
        <vt:i4>1835058</vt:i4>
      </vt:variant>
      <vt:variant>
        <vt:i4>119</vt:i4>
      </vt:variant>
      <vt:variant>
        <vt:i4>0</vt:i4>
      </vt:variant>
      <vt:variant>
        <vt:i4>5</vt:i4>
      </vt:variant>
      <vt:variant>
        <vt:lpwstr/>
      </vt:variant>
      <vt:variant>
        <vt:lpwstr>_Toc517129228</vt:lpwstr>
      </vt:variant>
      <vt:variant>
        <vt:i4>1835058</vt:i4>
      </vt:variant>
      <vt:variant>
        <vt:i4>113</vt:i4>
      </vt:variant>
      <vt:variant>
        <vt:i4>0</vt:i4>
      </vt:variant>
      <vt:variant>
        <vt:i4>5</vt:i4>
      </vt:variant>
      <vt:variant>
        <vt:lpwstr/>
      </vt:variant>
      <vt:variant>
        <vt:lpwstr>_Toc517129227</vt:lpwstr>
      </vt:variant>
      <vt:variant>
        <vt:i4>1835058</vt:i4>
      </vt:variant>
      <vt:variant>
        <vt:i4>107</vt:i4>
      </vt:variant>
      <vt:variant>
        <vt:i4>0</vt:i4>
      </vt:variant>
      <vt:variant>
        <vt:i4>5</vt:i4>
      </vt:variant>
      <vt:variant>
        <vt:lpwstr/>
      </vt:variant>
      <vt:variant>
        <vt:lpwstr>_Toc517129226</vt:lpwstr>
      </vt:variant>
      <vt:variant>
        <vt:i4>1835058</vt:i4>
      </vt:variant>
      <vt:variant>
        <vt:i4>101</vt:i4>
      </vt:variant>
      <vt:variant>
        <vt:i4>0</vt:i4>
      </vt:variant>
      <vt:variant>
        <vt:i4>5</vt:i4>
      </vt:variant>
      <vt:variant>
        <vt:lpwstr/>
      </vt:variant>
      <vt:variant>
        <vt:lpwstr>_Toc517129225</vt:lpwstr>
      </vt:variant>
      <vt:variant>
        <vt:i4>1835058</vt:i4>
      </vt:variant>
      <vt:variant>
        <vt:i4>95</vt:i4>
      </vt:variant>
      <vt:variant>
        <vt:i4>0</vt:i4>
      </vt:variant>
      <vt:variant>
        <vt:i4>5</vt:i4>
      </vt:variant>
      <vt:variant>
        <vt:lpwstr/>
      </vt:variant>
      <vt:variant>
        <vt:lpwstr>_Toc517129224</vt:lpwstr>
      </vt:variant>
      <vt:variant>
        <vt:i4>1835058</vt:i4>
      </vt:variant>
      <vt:variant>
        <vt:i4>89</vt:i4>
      </vt:variant>
      <vt:variant>
        <vt:i4>0</vt:i4>
      </vt:variant>
      <vt:variant>
        <vt:i4>5</vt:i4>
      </vt:variant>
      <vt:variant>
        <vt:lpwstr/>
      </vt:variant>
      <vt:variant>
        <vt:lpwstr>_Toc517129223</vt:lpwstr>
      </vt:variant>
      <vt:variant>
        <vt:i4>1835058</vt:i4>
      </vt:variant>
      <vt:variant>
        <vt:i4>83</vt:i4>
      </vt:variant>
      <vt:variant>
        <vt:i4>0</vt:i4>
      </vt:variant>
      <vt:variant>
        <vt:i4>5</vt:i4>
      </vt:variant>
      <vt:variant>
        <vt:lpwstr/>
      </vt:variant>
      <vt:variant>
        <vt:lpwstr>_Toc517129222</vt:lpwstr>
      </vt:variant>
      <vt:variant>
        <vt:i4>1835058</vt:i4>
      </vt:variant>
      <vt:variant>
        <vt:i4>77</vt:i4>
      </vt:variant>
      <vt:variant>
        <vt:i4>0</vt:i4>
      </vt:variant>
      <vt:variant>
        <vt:i4>5</vt:i4>
      </vt:variant>
      <vt:variant>
        <vt:lpwstr/>
      </vt:variant>
      <vt:variant>
        <vt:lpwstr>_Toc517129221</vt:lpwstr>
      </vt:variant>
      <vt:variant>
        <vt:i4>1835058</vt:i4>
      </vt:variant>
      <vt:variant>
        <vt:i4>71</vt:i4>
      </vt:variant>
      <vt:variant>
        <vt:i4>0</vt:i4>
      </vt:variant>
      <vt:variant>
        <vt:i4>5</vt:i4>
      </vt:variant>
      <vt:variant>
        <vt:lpwstr/>
      </vt:variant>
      <vt:variant>
        <vt:lpwstr>_Toc517129220</vt:lpwstr>
      </vt:variant>
      <vt:variant>
        <vt:i4>2031666</vt:i4>
      </vt:variant>
      <vt:variant>
        <vt:i4>65</vt:i4>
      </vt:variant>
      <vt:variant>
        <vt:i4>0</vt:i4>
      </vt:variant>
      <vt:variant>
        <vt:i4>5</vt:i4>
      </vt:variant>
      <vt:variant>
        <vt:lpwstr/>
      </vt:variant>
      <vt:variant>
        <vt:lpwstr>_Toc517129219</vt:lpwstr>
      </vt:variant>
      <vt:variant>
        <vt:i4>2031666</vt:i4>
      </vt:variant>
      <vt:variant>
        <vt:i4>59</vt:i4>
      </vt:variant>
      <vt:variant>
        <vt:i4>0</vt:i4>
      </vt:variant>
      <vt:variant>
        <vt:i4>5</vt:i4>
      </vt:variant>
      <vt:variant>
        <vt:lpwstr/>
      </vt:variant>
      <vt:variant>
        <vt:lpwstr>_Toc517129218</vt:lpwstr>
      </vt:variant>
      <vt:variant>
        <vt:i4>2031666</vt:i4>
      </vt:variant>
      <vt:variant>
        <vt:i4>53</vt:i4>
      </vt:variant>
      <vt:variant>
        <vt:i4>0</vt:i4>
      </vt:variant>
      <vt:variant>
        <vt:i4>5</vt:i4>
      </vt:variant>
      <vt:variant>
        <vt:lpwstr/>
      </vt:variant>
      <vt:variant>
        <vt:lpwstr>_Toc517129217</vt:lpwstr>
      </vt:variant>
      <vt:variant>
        <vt:i4>2031666</vt:i4>
      </vt:variant>
      <vt:variant>
        <vt:i4>47</vt:i4>
      </vt:variant>
      <vt:variant>
        <vt:i4>0</vt:i4>
      </vt:variant>
      <vt:variant>
        <vt:i4>5</vt:i4>
      </vt:variant>
      <vt:variant>
        <vt:lpwstr/>
      </vt:variant>
      <vt:variant>
        <vt:lpwstr>_Toc517129216</vt:lpwstr>
      </vt:variant>
      <vt:variant>
        <vt:i4>2031666</vt:i4>
      </vt:variant>
      <vt:variant>
        <vt:i4>41</vt:i4>
      </vt:variant>
      <vt:variant>
        <vt:i4>0</vt:i4>
      </vt:variant>
      <vt:variant>
        <vt:i4>5</vt:i4>
      </vt:variant>
      <vt:variant>
        <vt:lpwstr/>
      </vt:variant>
      <vt:variant>
        <vt:lpwstr>_Toc517129215</vt:lpwstr>
      </vt:variant>
      <vt:variant>
        <vt:i4>2031666</vt:i4>
      </vt:variant>
      <vt:variant>
        <vt:i4>35</vt:i4>
      </vt:variant>
      <vt:variant>
        <vt:i4>0</vt:i4>
      </vt:variant>
      <vt:variant>
        <vt:i4>5</vt:i4>
      </vt:variant>
      <vt:variant>
        <vt:lpwstr/>
      </vt:variant>
      <vt:variant>
        <vt:lpwstr>_Toc517129214</vt:lpwstr>
      </vt:variant>
      <vt:variant>
        <vt:i4>2031666</vt:i4>
      </vt:variant>
      <vt:variant>
        <vt:i4>29</vt:i4>
      </vt:variant>
      <vt:variant>
        <vt:i4>0</vt:i4>
      </vt:variant>
      <vt:variant>
        <vt:i4>5</vt:i4>
      </vt:variant>
      <vt:variant>
        <vt:lpwstr/>
      </vt:variant>
      <vt:variant>
        <vt:lpwstr>_Toc517129213</vt:lpwstr>
      </vt:variant>
      <vt:variant>
        <vt:i4>2031666</vt:i4>
      </vt:variant>
      <vt:variant>
        <vt:i4>23</vt:i4>
      </vt:variant>
      <vt:variant>
        <vt:i4>0</vt:i4>
      </vt:variant>
      <vt:variant>
        <vt:i4>5</vt:i4>
      </vt:variant>
      <vt:variant>
        <vt:lpwstr/>
      </vt:variant>
      <vt:variant>
        <vt:lpwstr>_Toc517129212</vt:lpwstr>
      </vt:variant>
      <vt:variant>
        <vt:i4>2031666</vt:i4>
      </vt:variant>
      <vt:variant>
        <vt:i4>17</vt:i4>
      </vt:variant>
      <vt:variant>
        <vt:i4>0</vt:i4>
      </vt:variant>
      <vt:variant>
        <vt:i4>5</vt:i4>
      </vt:variant>
      <vt:variant>
        <vt:lpwstr/>
      </vt:variant>
      <vt:variant>
        <vt:lpwstr>_Toc517129211</vt:lpwstr>
      </vt:variant>
      <vt:variant>
        <vt:i4>2031666</vt:i4>
      </vt:variant>
      <vt:variant>
        <vt:i4>11</vt:i4>
      </vt:variant>
      <vt:variant>
        <vt:i4>0</vt:i4>
      </vt:variant>
      <vt:variant>
        <vt:i4>5</vt:i4>
      </vt:variant>
      <vt:variant>
        <vt:lpwstr/>
      </vt:variant>
      <vt:variant>
        <vt:lpwstr>_Toc517129210</vt:lpwstr>
      </vt:variant>
      <vt:variant>
        <vt:i4>1048630</vt:i4>
      </vt:variant>
      <vt:variant>
        <vt:i4>6</vt:i4>
      </vt:variant>
      <vt:variant>
        <vt:i4>0</vt:i4>
      </vt:variant>
      <vt:variant>
        <vt:i4>5</vt:i4>
      </vt:variant>
      <vt:variant>
        <vt:lpwstr>mailto:ssprincess521@163.com</vt:lpwstr>
      </vt:variant>
      <vt:variant>
        <vt:lpwstr/>
      </vt:variant>
      <vt:variant>
        <vt:i4>1048630</vt:i4>
      </vt:variant>
      <vt:variant>
        <vt:i4>3</vt:i4>
      </vt:variant>
      <vt:variant>
        <vt:i4>0</vt:i4>
      </vt:variant>
      <vt:variant>
        <vt:i4>5</vt:i4>
      </vt:variant>
      <vt:variant>
        <vt:lpwstr>mailto:ssprincess521@163.com</vt:lpwstr>
      </vt:variant>
      <vt:variant>
        <vt:lpwstr/>
      </vt:variant>
      <vt:variant>
        <vt:i4>1048630</vt:i4>
      </vt:variant>
      <vt:variant>
        <vt:i4>0</vt:i4>
      </vt:variant>
      <vt:variant>
        <vt:i4>0</vt:i4>
      </vt:variant>
      <vt:variant>
        <vt:i4>5</vt:i4>
      </vt:variant>
      <vt:variant>
        <vt:lpwstr>mailto:ssprincess521@163.com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cc</cp:lastModifiedBy>
  <cp:revision>32</cp:revision>
  <cp:lastPrinted>2018-06-20T03:26:00Z</cp:lastPrinted>
  <dcterms:created xsi:type="dcterms:W3CDTF">2018-06-18T16:24:00Z</dcterms:created>
  <dcterms:modified xsi:type="dcterms:W3CDTF">2019-03-21T02:15:00Z</dcterms:modified>
</cp:coreProperties>
</file>