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spacing w:line="600" w:lineRule="exact"/>
        <w:ind w:firstLine="0" w:firstLineChars="0"/>
        <w:rPr>
          <w:rFonts w:ascii="黑体" w:hAnsi="黑体" w:eastAsia="黑体"/>
          <w:kern w:val="0"/>
          <w:sz w:val="32"/>
          <w:szCs w:val="32"/>
        </w:rPr>
      </w:pPr>
      <w:bookmarkStart w:id="0" w:name="_GoBack"/>
      <w:bookmarkEnd w:id="0"/>
      <w:r>
        <w:rPr>
          <w:rFonts w:hint="eastAsia" w:ascii="黑体" w:hAnsi="黑体" w:eastAsia="黑体"/>
          <w:kern w:val="0"/>
          <w:sz w:val="32"/>
          <w:szCs w:val="32"/>
        </w:rPr>
        <w:t>附件1</w:t>
      </w:r>
    </w:p>
    <w:p>
      <w:pPr>
        <w:pStyle w:val="2"/>
        <w:overflowPunct w:val="0"/>
        <w:spacing w:line="580" w:lineRule="exact"/>
        <w:ind w:firstLine="0" w:firstLineChars="0"/>
        <w:jc w:val="center"/>
        <w:rPr>
          <w:rFonts w:hint="eastAsia" w:ascii="方正小标宋简体" w:hAnsi="方正小标宋简体" w:eastAsia="方正小标宋简体"/>
          <w:sz w:val="40"/>
          <w:szCs w:val="44"/>
        </w:rPr>
      </w:pPr>
    </w:p>
    <w:p>
      <w:pPr>
        <w:pStyle w:val="2"/>
        <w:overflowPunct w:val="0"/>
        <w:spacing w:line="580" w:lineRule="exact"/>
        <w:ind w:firstLine="0" w:firstLineChars="0"/>
        <w:jc w:val="center"/>
        <w:rPr>
          <w:rFonts w:hint="eastAsia" w:ascii="方正小标宋简体" w:hAnsi="方正小标宋简体" w:eastAsia="方正小标宋简体"/>
          <w:sz w:val="40"/>
          <w:szCs w:val="44"/>
        </w:rPr>
      </w:pPr>
      <w:r>
        <w:rPr>
          <w:rFonts w:hint="eastAsia" w:ascii="方正小标宋简体" w:hAnsi="方正小标宋简体" w:eastAsia="方正小标宋简体"/>
          <w:sz w:val="40"/>
          <w:szCs w:val="44"/>
        </w:rPr>
        <w:t>行政事业单位内部控制建设评价指标</w:t>
      </w:r>
    </w:p>
    <w:p>
      <w:pPr>
        <w:pStyle w:val="2"/>
        <w:overflowPunct w:val="0"/>
        <w:spacing w:line="580" w:lineRule="exact"/>
        <w:ind w:firstLine="0" w:firstLineChars="0"/>
        <w:jc w:val="center"/>
        <w:rPr>
          <w:rFonts w:hint="eastAsia" w:ascii="方正小标宋简体" w:hAnsi="方正小标宋简体" w:eastAsia="方正小标宋简体"/>
          <w:sz w:val="40"/>
          <w:szCs w:val="44"/>
        </w:rPr>
      </w:pPr>
    </w:p>
    <w:tbl>
      <w:tblPr>
        <w:tblStyle w:val="9"/>
        <w:tblW w:w="5000" w:type="pct"/>
        <w:tblInd w:w="0" w:type="dxa"/>
        <w:tblLayout w:type="autofit"/>
        <w:tblCellMar>
          <w:top w:w="0" w:type="dxa"/>
          <w:left w:w="108" w:type="dxa"/>
          <w:bottom w:w="0" w:type="dxa"/>
          <w:right w:w="108" w:type="dxa"/>
        </w:tblCellMar>
      </w:tblPr>
      <w:tblGrid>
        <w:gridCol w:w="675"/>
        <w:gridCol w:w="993"/>
        <w:gridCol w:w="708"/>
        <w:gridCol w:w="996"/>
        <w:gridCol w:w="4018"/>
        <w:gridCol w:w="1783"/>
      </w:tblGrid>
      <w:tr>
        <w:tblPrEx>
          <w:tblCellMar>
            <w:top w:w="0" w:type="dxa"/>
            <w:left w:w="108" w:type="dxa"/>
            <w:bottom w:w="0" w:type="dxa"/>
            <w:right w:w="108" w:type="dxa"/>
          </w:tblCellMar>
        </w:tblPrEx>
        <w:trPr>
          <w:trHeight w:val="90" w:hRule="atLeast"/>
          <w:tblHeader/>
        </w:trPr>
        <w:tc>
          <w:tcPr>
            <w:tcW w:w="368" w:type="pc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b/>
                <w:bCs/>
                <w:color w:val="000000"/>
                <w:sz w:val="20"/>
                <w:szCs w:val="20"/>
              </w:rPr>
            </w:pPr>
            <w:r>
              <w:rPr>
                <w:rFonts w:hint="eastAsia" w:ascii="宋体" w:hAnsi="宋体"/>
                <w:b/>
                <w:bCs/>
                <w:color w:val="000000"/>
                <w:kern w:val="0"/>
                <w:sz w:val="20"/>
                <w:szCs w:val="20"/>
              </w:rPr>
              <w:t>指标编号</w:t>
            </w:r>
          </w:p>
        </w:tc>
        <w:tc>
          <w:tcPr>
            <w:tcW w:w="541"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b/>
                <w:bCs/>
                <w:color w:val="000000"/>
                <w:sz w:val="20"/>
                <w:szCs w:val="20"/>
              </w:rPr>
            </w:pPr>
            <w:r>
              <w:rPr>
                <w:rFonts w:hint="eastAsia" w:ascii="宋体" w:hAnsi="宋体"/>
                <w:b/>
                <w:bCs/>
                <w:color w:val="000000"/>
                <w:kern w:val="0"/>
                <w:sz w:val="20"/>
                <w:szCs w:val="20"/>
              </w:rPr>
              <w:t>一级</w:t>
            </w:r>
            <w:r>
              <w:rPr>
                <w:rFonts w:hint="eastAsia" w:ascii="宋体" w:hAnsi="宋体"/>
                <w:b/>
                <w:bCs/>
                <w:color w:val="000000"/>
                <w:kern w:val="0"/>
                <w:sz w:val="20"/>
                <w:szCs w:val="20"/>
              </w:rPr>
              <w:br w:type="textWrapping"/>
            </w:r>
            <w:r>
              <w:rPr>
                <w:rFonts w:hint="eastAsia" w:ascii="宋体" w:hAnsi="宋体"/>
                <w:b/>
                <w:bCs/>
                <w:color w:val="000000"/>
                <w:kern w:val="0"/>
                <w:sz w:val="20"/>
                <w:szCs w:val="20"/>
              </w:rPr>
              <w:t>指标</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hint="eastAsia" w:ascii="宋体" w:hAnsi="宋体"/>
                <w:b/>
                <w:bCs/>
                <w:color w:val="000000"/>
                <w:kern w:val="0"/>
                <w:sz w:val="20"/>
                <w:szCs w:val="20"/>
              </w:rPr>
            </w:pPr>
            <w:r>
              <w:rPr>
                <w:rFonts w:hint="eastAsia" w:ascii="宋体" w:hAnsi="宋体"/>
                <w:b/>
                <w:bCs/>
                <w:color w:val="000000"/>
                <w:kern w:val="0"/>
                <w:sz w:val="20"/>
                <w:szCs w:val="20"/>
              </w:rPr>
              <w:t>指标</w:t>
            </w:r>
          </w:p>
          <w:p>
            <w:pPr>
              <w:widowControl/>
              <w:autoSpaceDE w:val="0"/>
              <w:spacing w:line="320" w:lineRule="exact"/>
              <w:jc w:val="center"/>
              <w:textAlignment w:val="center"/>
              <w:rPr>
                <w:rFonts w:ascii="宋体" w:hAnsi="宋体"/>
                <w:b/>
                <w:bCs/>
                <w:color w:val="000000"/>
                <w:sz w:val="20"/>
                <w:szCs w:val="20"/>
              </w:rPr>
            </w:pPr>
            <w:r>
              <w:rPr>
                <w:rFonts w:hint="eastAsia" w:ascii="宋体" w:hAnsi="宋体"/>
                <w:b/>
                <w:bCs/>
                <w:color w:val="000000"/>
                <w:kern w:val="0"/>
                <w:sz w:val="20"/>
                <w:szCs w:val="20"/>
              </w:rPr>
              <w:t>编号</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hint="eastAsia" w:ascii="宋体" w:hAnsi="宋体"/>
                <w:b/>
                <w:bCs/>
                <w:color w:val="000000"/>
                <w:kern w:val="0"/>
                <w:sz w:val="20"/>
                <w:szCs w:val="20"/>
              </w:rPr>
            </w:pPr>
            <w:r>
              <w:rPr>
                <w:rFonts w:hint="eastAsia" w:ascii="宋体" w:hAnsi="宋体"/>
                <w:b/>
                <w:bCs/>
                <w:color w:val="000000"/>
                <w:kern w:val="0"/>
                <w:sz w:val="20"/>
                <w:szCs w:val="20"/>
              </w:rPr>
              <w:t>二级</w:t>
            </w:r>
          </w:p>
          <w:p>
            <w:pPr>
              <w:widowControl/>
              <w:autoSpaceDE w:val="0"/>
              <w:spacing w:line="320" w:lineRule="exact"/>
              <w:jc w:val="center"/>
              <w:textAlignment w:val="center"/>
              <w:rPr>
                <w:rFonts w:ascii="宋体" w:hAnsi="宋体"/>
                <w:b/>
                <w:bCs/>
                <w:color w:val="000000"/>
                <w:sz w:val="20"/>
                <w:szCs w:val="20"/>
              </w:rPr>
            </w:pPr>
            <w:r>
              <w:rPr>
                <w:rFonts w:hint="eastAsia" w:ascii="宋体" w:hAnsi="宋体"/>
                <w:b/>
                <w:bCs/>
                <w:color w:val="000000"/>
                <w:kern w:val="0"/>
                <w:sz w:val="20"/>
                <w:szCs w:val="20"/>
              </w:rPr>
              <w:t>指标</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b/>
                <w:bCs/>
                <w:color w:val="000000"/>
                <w:sz w:val="20"/>
                <w:szCs w:val="20"/>
              </w:rPr>
            </w:pPr>
            <w:r>
              <w:rPr>
                <w:rFonts w:hint="eastAsia" w:ascii="宋体" w:hAnsi="宋体"/>
                <w:b/>
                <w:bCs/>
                <w:color w:val="000000"/>
                <w:kern w:val="0"/>
                <w:sz w:val="20"/>
                <w:szCs w:val="20"/>
              </w:rPr>
              <w:t>指标说明</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b/>
                <w:bCs/>
                <w:color w:val="000000"/>
                <w:sz w:val="20"/>
                <w:szCs w:val="20"/>
              </w:rPr>
            </w:pPr>
            <w:r>
              <w:rPr>
                <w:rFonts w:hint="eastAsia" w:ascii="宋体" w:hAnsi="宋体"/>
                <w:b/>
                <w:bCs/>
                <w:color w:val="000000"/>
                <w:kern w:val="0"/>
                <w:sz w:val="20"/>
                <w:szCs w:val="20"/>
              </w:rPr>
              <w:t>佐证资料参考</w:t>
            </w:r>
          </w:p>
        </w:tc>
      </w:tr>
      <w:tr>
        <w:tblPrEx>
          <w:tblCellMar>
            <w:top w:w="0" w:type="dxa"/>
            <w:left w:w="108" w:type="dxa"/>
            <w:bottom w:w="0" w:type="dxa"/>
            <w:right w:w="108" w:type="dxa"/>
          </w:tblCellMar>
        </w:tblPrEx>
        <w:trPr>
          <w:trHeight w:val="1400"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541"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hint="eastAsia" w:ascii="宋体" w:hAnsi="宋体"/>
                <w:color w:val="000000"/>
                <w:kern w:val="0"/>
                <w:sz w:val="20"/>
                <w:szCs w:val="20"/>
              </w:rPr>
            </w:pPr>
            <w:r>
              <w:rPr>
                <w:rFonts w:hint="eastAsia" w:ascii="宋体" w:hAnsi="宋体"/>
                <w:color w:val="000000"/>
                <w:kern w:val="0"/>
                <w:sz w:val="20"/>
                <w:szCs w:val="20"/>
              </w:rPr>
              <w:t>风险</w:t>
            </w:r>
          </w:p>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评估</w:t>
            </w:r>
            <w:r>
              <w:rPr>
                <w:rFonts w:hint="eastAsia" w:ascii="宋体" w:hAnsi="宋体"/>
                <w:color w:val="000000"/>
                <w:kern w:val="0"/>
                <w:sz w:val="20"/>
                <w:szCs w:val="20"/>
              </w:rPr>
              <w:br w:type="textWrapping"/>
            </w:r>
            <w:r>
              <w:rPr>
                <w:rFonts w:hint="eastAsia" w:ascii="宋体" w:hAnsi="宋体"/>
                <w:color w:val="000000"/>
                <w:kern w:val="0"/>
                <w:sz w:val="20"/>
                <w:szCs w:val="20"/>
              </w:rPr>
              <w:t>（7分）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1.1</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风险评估工作开展情况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重点评价风险评估工作开展情况：（1）年度内是否开展了风险评估并形成风险评估报告；（2）是否明确了风险评估覆盖范围、是否针对风险评估结果提出了相应内控改进建议。</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2024或2025年度风险评估报告、风险清单等</w:t>
            </w:r>
          </w:p>
        </w:tc>
      </w:tr>
      <w:tr>
        <w:tblPrEx>
          <w:tblCellMar>
            <w:top w:w="0" w:type="dxa"/>
            <w:left w:w="108" w:type="dxa"/>
            <w:bottom w:w="0" w:type="dxa"/>
            <w:right w:w="108" w:type="dxa"/>
          </w:tblCellMar>
        </w:tblPrEx>
        <w:trPr>
          <w:trHeight w:val="1472" w:hRule="atLeast"/>
        </w:trPr>
        <w:tc>
          <w:tcPr>
            <w:tcW w:w="368" w:type="pct"/>
            <w:vMerge w:val="restart"/>
            <w:tcBorders>
              <w:top w:val="nil"/>
              <w:left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541" w:type="pct"/>
            <w:vMerge w:val="restart"/>
            <w:tcBorders>
              <w:top w:val="nil"/>
              <w:left w:val="nil"/>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内部控制机制和环境</w:t>
            </w:r>
            <w:r>
              <w:rPr>
                <w:rFonts w:hint="eastAsia" w:ascii="宋体" w:hAnsi="宋体"/>
                <w:color w:val="000000"/>
                <w:kern w:val="0"/>
                <w:sz w:val="20"/>
                <w:szCs w:val="20"/>
              </w:rPr>
              <w:br w:type="textWrapping"/>
            </w:r>
            <w:r>
              <w:rPr>
                <w:rFonts w:hint="eastAsia" w:ascii="宋体" w:hAnsi="宋体"/>
                <w:color w:val="000000"/>
                <w:kern w:val="0"/>
                <w:sz w:val="20"/>
                <w:szCs w:val="20"/>
              </w:rPr>
              <w:t>（15分）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2.1</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内控领导小组成立情况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重点评价单位内控领导小组成立及负责人确定情况：（1）是否成立了领导小组；（2）是否明确了领导小组职责。</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关于单位成立内部控制领导小组的通知等</w:t>
            </w:r>
          </w:p>
        </w:tc>
      </w:tr>
      <w:tr>
        <w:tblPrEx>
          <w:tblCellMar>
            <w:top w:w="0" w:type="dxa"/>
            <w:left w:w="108" w:type="dxa"/>
            <w:bottom w:w="0" w:type="dxa"/>
            <w:right w:w="108" w:type="dxa"/>
          </w:tblCellMar>
        </w:tblPrEx>
        <w:trPr>
          <w:trHeight w:val="1603" w:hRule="atLeast"/>
        </w:trPr>
        <w:tc>
          <w:tcPr>
            <w:tcW w:w="368" w:type="pct"/>
            <w:vMerge w:val="continue"/>
            <w:tcBorders>
              <w:left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2.2</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内控领导小组工作开展情况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重点评价单位内控领导小组工作开展情况：年度内是否召开内控领导小组会议。</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会议纪要等</w:t>
            </w:r>
          </w:p>
        </w:tc>
      </w:tr>
      <w:tr>
        <w:tblPrEx>
          <w:tblCellMar>
            <w:top w:w="0" w:type="dxa"/>
            <w:left w:w="108" w:type="dxa"/>
            <w:bottom w:w="0" w:type="dxa"/>
            <w:right w:w="108" w:type="dxa"/>
          </w:tblCellMar>
        </w:tblPrEx>
        <w:trPr>
          <w:trHeight w:val="1451" w:hRule="atLeast"/>
        </w:trPr>
        <w:tc>
          <w:tcPr>
            <w:tcW w:w="368" w:type="pct"/>
            <w:vMerge w:val="continue"/>
            <w:tcBorders>
              <w:left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2.3</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内控工作小组成立情况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重点评价单位内控工作小组成立及负责人情况：（1）是否成立了工作小组并明确职责；（2）是否明确了工作小组负责人。</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关于单位成立内部控制工作小组的通知等</w:t>
            </w:r>
          </w:p>
        </w:tc>
      </w:tr>
      <w:tr>
        <w:tblPrEx>
          <w:tblCellMar>
            <w:top w:w="0" w:type="dxa"/>
            <w:left w:w="108" w:type="dxa"/>
            <w:bottom w:w="0" w:type="dxa"/>
            <w:right w:w="108" w:type="dxa"/>
          </w:tblCellMar>
        </w:tblPrEx>
        <w:trPr>
          <w:trHeight w:val="2151" w:hRule="atLeast"/>
        </w:trPr>
        <w:tc>
          <w:tcPr>
            <w:tcW w:w="368" w:type="pct"/>
            <w:vMerge w:val="continue"/>
            <w:tcBorders>
              <w:left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2.4</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内控建设牵头部门、监督评价部门明确情况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重点评价单位内控建设牵头部门、监督评价部门落实情况：（1）是否明确了内控建设牵头部门、监督评价部门；（2）内控建设牵头部门与内控建设监督评价部门是否进行了分离。</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关于单位明确牵头部门、监督评价部门的通知、会议纪要等</w:t>
            </w:r>
          </w:p>
        </w:tc>
      </w:tr>
      <w:tr>
        <w:tblPrEx>
          <w:tblCellMar>
            <w:top w:w="0" w:type="dxa"/>
            <w:left w:w="108" w:type="dxa"/>
            <w:bottom w:w="0" w:type="dxa"/>
            <w:right w:w="108" w:type="dxa"/>
          </w:tblCellMar>
        </w:tblPrEx>
        <w:trPr>
          <w:trHeight w:val="1497" w:hRule="atLeast"/>
        </w:trPr>
        <w:tc>
          <w:tcPr>
            <w:tcW w:w="368"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bottom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2.5</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议事决策机制建立情况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重点评价单位议事决策机制建立情况：（1）是否建立了议事决策机制；（2）是否明确了议事决策机制的决策范围、决策机构、决策金额等内容。</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“三重一大”制度、党组会/办公会议事规则、工作规则等</w:t>
            </w:r>
          </w:p>
        </w:tc>
      </w:tr>
      <w:tr>
        <w:tblPrEx>
          <w:tblCellMar>
            <w:top w:w="0" w:type="dxa"/>
            <w:left w:w="108" w:type="dxa"/>
            <w:bottom w:w="0" w:type="dxa"/>
            <w:right w:w="108" w:type="dxa"/>
          </w:tblCellMar>
        </w:tblPrEx>
        <w:trPr>
          <w:trHeight w:val="1898" w:hRule="atLeast"/>
        </w:trPr>
        <w:tc>
          <w:tcPr>
            <w:tcW w:w="368" w:type="pct"/>
            <w:vMerge w:val="restart"/>
            <w:tcBorders>
              <w:top w:val="nil"/>
              <w:left w:val="single" w:color="000000" w:sz="4" w:space="0"/>
              <w:right w:val="single" w:color="000000"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2</w:t>
            </w:r>
          </w:p>
        </w:tc>
        <w:tc>
          <w:tcPr>
            <w:tcW w:w="541" w:type="pct"/>
            <w:vMerge w:val="restart"/>
            <w:tcBorders>
              <w:top w:val="nil"/>
              <w:left w:val="nil"/>
              <w:right w:val="single" w:color="000000"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内部控制机制和环境</w:t>
            </w:r>
            <w:r>
              <w:rPr>
                <w:rFonts w:hint="eastAsia" w:ascii="宋体" w:hAnsi="宋体"/>
                <w:color w:val="000000"/>
                <w:kern w:val="0"/>
                <w:sz w:val="20"/>
                <w:szCs w:val="20"/>
              </w:rPr>
              <w:br w:type="textWrapping"/>
            </w:r>
            <w:r>
              <w:rPr>
                <w:rFonts w:hint="eastAsia" w:ascii="宋体" w:hAnsi="宋体"/>
                <w:color w:val="000000"/>
                <w:kern w:val="0"/>
                <w:sz w:val="20"/>
                <w:szCs w:val="20"/>
              </w:rPr>
              <w:t>（15分）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2.6</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内控关键岗位责任制建立情况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重点评价单位六大经济业务活动关键岗位建立情况：（1）是否明确关键岗位职责及分工；（2）不相容岗位是否进行了分离。</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岗位职责分工等</w:t>
            </w:r>
          </w:p>
        </w:tc>
      </w:tr>
      <w:tr>
        <w:tblPrEx>
          <w:tblCellMar>
            <w:top w:w="0" w:type="dxa"/>
            <w:left w:w="108" w:type="dxa"/>
            <w:bottom w:w="0" w:type="dxa"/>
            <w:right w:w="108" w:type="dxa"/>
          </w:tblCellMar>
        </w:tblPrEx>
        <w:trPr>
          <w:trHeight w:val="1694" w:hRule="atLeast"/>
        </w:trPr>
        <w:tc>
          <w:tcPr>
            <w:tcW w:w="368" w:type="pct"/>
            <w:vMerge w:val="continue"/>
            <w:tcBorders>
              <w:left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2.7</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内控关键岗位定期轮岗情况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重点评价单位是否建立了关键岗位轮岗机制，不具备轮岗条件的是否采取了专项审计等控制措施。</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轮岗制度、轮岗记录表或专项审计报告等</w:t>
            </w:r>
          </w:p>
        </w:tc>
      </w:tr>
      <w:tr>
        <w:tblPrEx>
          <w:tblCellMar>
            <w:top w:w="0" w:type="dxa"/>
            <w:left w:w="108" w:type="dxa"/>
            <w:bottom w:w="0" w:type="dxa"/>
            <w:right w:w="108" w:type="dxa"/>
          </w:tblCellMar>
        </w:tblPrEx>
        <w:trPr>
          <w:trHeight w:val="1365" w:hRule="atLeast"/>
        </w:trPr>
        <w:tc>
          <w:tcPr>
            <w:tcW w:w="368" w:type="pct"/>
            <w:vMerge w:val="continue"/>
            <w:tcBorders>
              <w:left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2.8</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内控人才队伍建设情况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重点评价单位定期组织开展内部控制培训和业务能力培训工作开展情况：是否组织开展内控专题培训。</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近五年来培训相关通知、签到表、照片或纪要等</w:t>
            </w:r>
          </w:p>
        </w:tc>
      </w:tr>
      <w:tr>
        <w:tblPrEx>
          <w:tblCellMar>
            <w:top w:w="0" w:type="dxa"/>
            <w:left w:w="108" w:type="dxa"/>
            <w:bottom w:w="0" w:type="dxa"/>
            <w:right w:w="108" w:type="dxa"/>
          </w:tblCellMar>
        </w:tblPrEx>
        <w:trPr>
          <w:trHeight w:val="2014" w:hRule="atLeast"/>
        </w:trPr>
        <w:tc>
          <w:tcPr>
            <w:tcW w:w="368" w:type="pct"/>
            <w:vMerge w:val="continue"/>
            <w:tcBorders>
              <w:left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2.9</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单位内部控制制度建立实施情况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重点评价单位是否建立健全单位内部控制制度，并有效执行：（1）是否建立健全内部控制制度；（2）内部控制制度是否按照外部政策规定和内部管理需要及时更新；（4）内部控制制度是否有效执行。</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内部控制制度、内部控制手册等</w:t>
            </w:r>
          </w:p>
        </w:tc>
      </w:tr>
      <w:tr>
        <w:tblPrEx>
          <w:tblCellMar>
            <w:top w:w="0" w:type="dxa"/>
            <w:left w:w="108" w:type="dxa"/>
            <w:bottom w:w="0" w:type="dxa"/>
            <w:right w:w="108" w:type="dxa"/>
          </w:tblCellMar>
        </w:tblPrEx>
        <w:trPr>
          <w:trHeight w:val="1952" w:hRule="atLeast"/>
        </w:trPr>
        <w:tc>
          <w:tcPr>
            <w:tcW w:w="368" w:type="pct"/>
            <w:vMerge w:val="continue"/>
            <w:tcBorders>
              <w:left w:val="single" w:color="000000" w:sz="4" w:space="0"/>
              <w:bottom w:val="single" w:color="auto"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bottom w:val="single" w:color="auto" w:sz="4" w:space="0"/>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auto"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2.10</w:t>
            </w:r>
          </w:p>
        </w:tc>
        <w:tc>
          <w:tcPr>
            <w:tcW w:w="543" w:type="pct"/>
            <w:tcBorders>
              <w:top w:val="single" w:color="000000" w:sz="4" w:space="0"/>
              <w:left w:val="nil"/>
              <w:bottom w:val="single" w:color="auto"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会计基础工作开展情况</w:t>
            </w:r>
          </w:p>
        </w:tc>
        <w:tc>
          <w:tcPr>
            <w:tcW w:w="2190" w:type="pct"/>
            <w:tcBorders>
              <w:top w:val="single" w:color="000000" w:sz="4" w:space="0"/>
              <w:left w:val="nil"/>
              <w:bottom w:val="single" w:color="auto"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重点评价单位会计行为规范情况：（1）是否规范任用会计人员；（2）是否按照相关规定填制会计凭证、登记会计账簿、编制财务报告、办理会计工作交接等；（3）是否建立内部会计监督机制。</w:t>
            </w:r>
          </w:p>
        </w:tc>
        <w:tc>
          <w:tcPr>
            <w:tcW w:w="972" w:type="pct"/>
            <w:tcBorders>
              <w:top w:val="single" w:color="000000" w:sz="4" w:space="0"/>
              <w:left w:val="nil"/>
              <w:bottom w:val="single" w:color="auto"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会计人员专业技术资格证书、任命文件、会计监督相关文件资料等</w:t>
            </w:r>
          </w:p>
        </w:tc>
      </w:tr>
      <w:tr>
        <w:tblPrEx>
          <w:tblCellMar>
            <w:top w:w="0" w:type="dxa"/>
            <w:left w:w="108" w:type="dxa"/>
            <w:bottom w:w="0" w:type="dxa"/>
            <w:right w:w="108" w:type="dxa"/>
          </w:tblCellMar>
        </w:tblPrEx>
        <w:trPr>
          <w:trHeight w:val="2989"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w:t>
            </w:r>
          </w:p>
        </w:tc>
        <w:tc>
          <w:tcPr>
            <w:tcW w:w="541"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重点业务领域内部控制</w:t>
            </w:r>
            <w:r>
              <w:rPr>
                <w:rFonts w:hint="eastAsia" w:ascii="宋体" w:hAnsi="宋体"/>
                <w:color w:val="000000"/>
                <w:kern w:val="0"/>
                <w:sz w:val="20"/>
                <w:szCs w:val="20"/>
              </w:rPr>
              <w:br w:type="textWrapping"/>
            </w:r>
            <w:r>
              <w:rPr>
                <w:rFonts w:hint="eastAsia" w:ascii="宋体" w:hAnsi="宋体"/>
                <w:color w:val="000000"/>
                <w:kern w:val="0"/>
                <w:sz w:val="20"/>
                <w:szCs w:val="20"/>
              </w:rPr>
              <w:t>（60分）</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预算管理制度建立情况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预算管理制度建立情况：（1）是否建立预算管理制度，制度应包含以下重点业务环节：预算编制、预算内部分解下达、预算执行与分析、预算调整、决算编制、预算绩效管理（事前绩效评估、绩效目标管理、绩效运行监控、绩效评价、绩效结果应用等）、预决算公开等；（2）是否明确预算管理相关业务流程。</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预算管理制度、流程图、流程说明等</w:t>
            </w:r>
          </w:p>
        </w:tc>
      </w:tr>
      <w:tr>
        <w:tblPrEx>
          <w:tblCellMar>
            <w:top w:w="0" w:type="dxa"/>
            <w:left w:w="108" w:type="dxa"/>
            <w:bottom w:w="0" w:type="dxa"/>
            <w:right w:w="108" w:type="dxa"/>
          </w:tblCellMar>
        </w:tblPrEx>
        <w:trPr>
          <w:trHeight w:val="3150" w:hRule="atLeast"/>
        </w:trPr>
        <w:tc>
          <w:tcPr>
            <w:tcW w:w="36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3</w:t>
            </w:r>
          </w:p>
        </w:tc>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重点业务领域内部控制</w:t>
            </w:r>
            <w:r>
              <w:rPr>
                <w:rFonts w:hint="eastAsia" w:ascii="宋体" w:hAnsi="宋体"/>
                <w:color w:val="000000"/>
                <w:kern w:val="0"/>
                <w:sz w:val="20"/>
                <w:szCs w:val="20"/>
              </w:rPr>
              <w:br w:type="textWrapping"/>
            </w:r>
            <w:r>
              <w:rPr>
                <w:rFonts w:hint="eastAsia" w:ascii="宋体" w:hAnsi="宋体"/>
                <w:color w:val="000000"/>
                <w:kern w:val="0"/>
                <w:sz w:val="20"/>
                <w:szCs w:val="20"/>
              </w:rPr>
              <w:t>（60分）</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3.2</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预算管理制度执行情况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重点评价预算管理制度执行情况：是否严格按照预算管理制度和流程开展相关业务活动。</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预算会议纪要、预算分解表、预算执行分析表/报告、预算调整或调剂表、部门单位事前绩效评估报告（表）、绩效目标表、运行监控报告和监控表、自评报告、自评表和部门评价报告、结果应用情况等</w:t>
            </w:r>
          </w:p>
        </w:tc>
      </w:tr>
      <w:tr>
        <w:tblPrEx>
          <w:tblCellMar>
            <w:top w:w="0" w:type="dxa"/>
            <w:left w:w="108" w:type="dxa"/>
            <w:bottom w:w="0" w:type="dxa"/>
            <w:right w:w="108" w:type="dxa"/>
          </w:tblCellMar>
        </w:tblPrEx>
        <w:trPr>
          <w:trHeight w:val="1867"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3.3</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收支管理制度建立情况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重点评价收支管理制度建立情况：（1）是否建立收支管理制度，制度应包含以下重点业务环节：收入管理、票据管理、支出管理、会计核算、会计档案管理等；（2）是否明确收支管理相关业务流程。</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收支管理制度、流程图及流程说明等</w:t>
            </w:r>
          </w:p>
        </w:tc>
      </w:tr>
      <w:tr>
        <w:tblPrEx>
          <w:tblCellMar>
            <w:top w:w="0" w:type="dxa"/>
            <w:left w:w="108" w:type="dxa"/>
            <w:bottom w:w="0" w:type="dxa"/>
            <w:right w:w="108" w:type="dxa"/>
          </w:tblCellMar>
        </w:tblPrEx>
        <w:trPr>
          <w:trHeight w:val="1695"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3.4</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收支管理制度执行情况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重点评价收支管理制度执行情况：是否严格按照收支管理制度和流程开展相关业务活动。</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各类审批单、报销单、会计凭证封面+1张记账凭证及原始凭证附件等</w:t>
            </w:r>
          </w:p>
        </w:tc>
      </w:tr>
      <w:tr>
        <w:tblPrEx>
          <w:tblCellMar>
            <w:top w:w="0" w:type="dxa"/>
            <w:left w:w="108" w:type="dxa"/>
            <w:bottom w:w="0" w:type="dxa"/>
            <w:right w:w="108" w:type="dxa"/>
          </w:tblCellMar>
        </w:tblPrEx>
        <w:trPr>
          <w:trHeight w:val="90"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3.5</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采购管理制度建立情况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采购管理制度建立情况：（1）是否建立采购管理制度，制度应包含以下重点业务环节：采购预算、采购需求、采购文件编制、项目组织实施（组织形式和采购方式、采购执行过程管理、履约验收管理、信息公开管理等）、采购质疑答复、采购合同管理、采购档案管理等；（2）是否明确采购管理相关业务流程。</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采购管理制度、流程图及流程说明等</w:t>
            </w:r>
          </w:p>
        </w:tc>
      </w:tr>
      <w:tr>
        <w:tblPrEx>
          <w:tblCellMar>
            <w:top w:w="0" w:type="dxa"/>
            <w:left w:w="108" w:type="dxa"/>
            <w:bottom w:w="0" w:type="dxa"/>
            <w:right w:w="108" w:type="dxa"/>
          </w:tblCellMar>
        </w:tblPrEx>
        <w:trPr>
          <w:trHeight w:val="1740"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3.6</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采购管理制度执行情况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重点评价采购管理制度执行情况：是否严格按照采购管理制度和流程开展相关业务活动。</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采购项目需求审批表/方案、招投标文件、中标通知书、验收证明、信息公开截图、采购合同等</w:t>
            </w:r>
          </w:p>
        </w:tc>
      </w:tr>
      <w:tr>
        <w:tblPrEx>
          <w:tblCellMar>
            <w:top w:w="0" w:type="dxa"/>
            <w:left w:w="108" w:type="dxa"/>
            <w:bottom w:w="0" w:type="dxa"/>
            <w:right w:w="108" w:type="dxa"/>
          </w:tblCellMar>
        </w:tblPrEx>
        <w:trPr>
          <w:trHeight w:val="3235" w:hRule="atLeast"/>
        </w:trPr>
        <w:tc>
          <w:tcPr>
            <w:tcW w:w="36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3</w:t>
            </w:r>
          </w:p>
        </w:tc>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重点业务领域内部控制</w:t>
            </w:r>
            <w:r>
              <w:rPr>
                <w:rFonts w:hint="eastAsia" w:ascii="宋体" w:hAnsi="宋体"/>
                <w:color w:val="000000"/>
                <w:kern w:val="0"/>
                <w:sz w:val="20"/>
                <w:szCs w:val="20"/>
              </w:rPr>
              <w:br w:type="textWrapping"/>
            </w:r>
            <w:r>
              <w:rPr>
                <w:rFonts w:hint="eastAsia" w:ascii="宋体" w:hAnsi="宋体"/>
                <w:color w:val="000000"/>
                <w:kern w:val="0"/>
                <w:sz w:val="20"/>
                <w:szCs w:val="20"/>
              </w:rPr>
              <w:t>（60分）</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3.7</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资产管理制度建立情况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资产管理制度建立情况：（1）是否建立资产管理制度，制度应包含以下重点业务环节：资产配置、货币资金管理（现金管理、银行存款管理、印章管理、银行账户管理等）、存货管理、固定资产管理（资产配置、使用、处置、清查盘点等）、无形资产管理（资产配置、使用、处置、清查盘点等）、对外投资（仅适用于事业单位）；（2）是否明确资产管理相关业务流程。</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资产管理制度、流程图及流程说明等</w:t>
            </w:r>
          </w:p>
        </w:tc>
      </w:tr>
      <w:tr>
        <w:tblPrEx>
          <w:tblCellMar>
            <w:top w:w="0" w:type="dxa"/>
            <w:left w:w="108" w:type="dxa"/>
            <w:bottom w:w="0" w:type="dxa"/>
            <w:right w:w="108" w:type="dxa"/>
          </w:tblCellMar>
        </w:tblPrEx>
        <w:trPr>
          <w:trHeight w:val="3177"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3.8</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资产管理制度执行情况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重点评价资产管理制度执行情况：是否严格按照资产管理制度和流程开展相关业务活动。</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存货入库单、出库单，固定资产入库单、领用单、内部转移单、维修单，资产清查/盘点表、资产出租出借单、资产处置单、资产管理系统截图等</w:t>
            </w:r>
          </w:p>
        </w:tc>
      </w:tr>
      <w:tr>
        <w:tblPrEx>
          <w:tblCellMar>
            <w:top w:w="0" w:type="dxa"/>
            <w:left w:w="108" w:type="dxa"/>
            <w:bottom w:w="0" w:type="dxa"/>
            <w:right w:w="108" w:type="dxa"/>
          </w:tblCellMar>
        </w:tblPrEx>
        <w:trPr>
          <w:trHeight w:val="2967"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3.9</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建设项目管理制度建立情况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建设项目管理制度建立情况：（1）是否建立建设项目管理制度，制度应包含以下重点业务环节：建设项目立项、建设项目设计、建设项目概预算、建设项目采购、建设项目实施、建设项目竣工验收、建设项目结算与决算等；（2）是否明确建设项目管理内部控制的决策、管理、执行、监督机构的职责。</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建设项目管理制度、流程图及流程说明等</w:t>
            </w:r>
          </w:p>
        </w:tc>
      </w:tr>
      <w:tr>
        <w:tblPrEx>
          <w:tblCellMar>
            <w:top w:w="0" w:type="dxa"/>
            <w:left w:w="108" w:type="dxa"/>
            <w:bottom w:w="0" w:type="dxa"/>
            <w:right w:w="108" w:type="dxa"/>
          </w:tblCellMar>
        </w:tblPrEx>
        <w:trPr>
          <w:trHeight w:val="2531" w:hRule="atLeast"/>
        </w:trPr>
        <w:tc>
          <w:tcPr>
            <w:tcW w:w="3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0"/>
                <w:szCs w:val="20"/>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 xml:space="preserve">3.10 </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建设项目管理制度执行情况</w:t>
            </w:r>
          </w:p>
        </w:tc>
        <w:tc>
          <w:tcPr>
            <w:tcW w:w="2190"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重点评价建设项目管理制度执行情况：是否严格按照建设项目管理制度和流程开展相关业务活动。</w:t>
            </w: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集体决策会议纪要、项目建议书、可行性研究报告、初步设计文件、概预算、采购合同、验收报告、竣工决算报告等</w:t>
            </w:r>
          </w:p>
        </w:tc>
      </w:tr>
      <w:tr>
        <w:tblPrEx>
          <w:tblCellMar>
            <w:top w:w="0" w:type="dxa"/>
            <w:left w:w="108" w:type="dxa"/>
            <w:bottom w:w="0" w:type="dxa"/>
            <w:right w:w="108" w:type="dxa"/>
          </w:tblCellMar>
        </w:tblPrEx>
        <w:trPr>
          <w:trHeight w:val="2465" w:hRule="atLeast"/>
        </w:trPr>
        <w:tc>
          <w:tcPr>
            <w:tcW w:w="368" w:type="pct"/>
            <w:vMerge w:val="restart"/>
            <w:tcBorders>
              <w:top w:val="single" w:color="auto" w:sz="4" w:space="0"/>
              <w:left w:val="single" w:color="000000" w:sz="4" w:space="0"/>
              <w:right w:val="single" w:color="000000"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3</w:t>
            </w:r>
          </w:p>
        </w:tc>
        <w:tc>
          <w:tcPr>
            <w:tcW w:w="541" w:type="pct"/>
            <w:vMerge w:val="restart"/>
            <w:tcBorders>
              <w:top w:val="single" w:color="auto" w:sz="4" w:space="0"/>
              <w:left w:val="nil"/>
              <w:right w:val="single" w:color="000000"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重点业务领域内部控制</w:t>
            </w:r>
            <w:r>
              <w:rPr>
                <w:rFonts w:hint="eastAsia" w:ascii="宋体" w:hAnsi="宋体"/>
                <w:color w:val="000000"/>
                <w:kern w:val="0"/>
                <w:sz w:val="20"/>
                <w:szCs w:val="20"/>
              </w:rPr>
              <w:br w:type="textWrapping"/>
            </w:r>
            <w:r>
              <w:rPr>
                <w:rFonts w:hint="eastAsia" w:ascii="宋体" w:hAnsi="宋体"/>
                <w:color w:val="000000"/>
                <w:kern w:val="0"/>
                <w:sz w:val="20"/>
                <w:szCs w:val="20"/>
              </w:rPr>
              <w:t>（60分）</w:t>
            </w:r>
          </w:p>
        </w:tc>
        <w:tc>
          <w:tcPr>
            <w:tcW w:w="386" w:type="pct"/>
            <w:tcBorders>
              <w:top w:val="single" w:color="auto"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 xml:space="preserve">3.11 </w:t>
            </w:r>
          </w:p>
        </w:tc>
        <w:tc>
          <w:tcPr>
            <w:tcW w:w="543" w:type="pct"/>
            <w:tcBorders>
              <w:top w:val="single" w:color="auto"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合同管理制度建立情况</w:t>
            </w:r>
          </w:p>
        </w:tc>
        <w:tc>
          <w:tcPr>
            <w:tcW w:w="2190" w:type="pct"/>
            <w:tcBorders>
              <w:top w:val="single" w:color="auto"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合同管理制度建立情况：（1）是否建立合同管理制度，制度应包含以下重点业务环节：合同订立管理、合同履行管理、合同变更管理、合同纠纷管理、合同档案管理等；（2）是否明确合同管理内部控制的决策、管理、执行、监督机构的职责。</w:t>
            </w:r>
          </w:p>
        </w:tc>
        <w:tc>
          <w:tcPr>
            <w:tcW w:w="972" w:type="pct"/>
            <w:tcBorders>
              <w:top w:val="single" w:color="auto"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合同项目管理制度、流程图及流程说明等</w:t>
            </w:r>
          </w:p>
        </w:tc>
      </w:tr>
      <w:tr>
        <w:tblPrEx>
          <w:tblCellMar>
            <w:top w:w="0" w:type="dxa"/>
            <w:left w:w="108" w:type="dxa"/>
            <w:bottom w:w="0" w:type="dxa"/>
            <w:right w:w="108" w:type="dxa"/>
          </w:tblCellMar>
        </w:tblPrEx>
        <w:trPr>
          <w:trHeight w:val="1546" w:hRule="atLeast"/>
        </w:trPr>
        <w:tc>
          <w:tcPr>
            <w:tcW w:w="368" w:type="pct"/>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left w:val="nil"/>
              <w:bottom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 xml:space="preserve">3.12 </w:t>
            </w:r>
          </w:p>
        </w:tc>
        <w:tc>
          <w:tcPr>
            <w:tcW w:w="543" w:type="pct"/>
            <w:tcBorders>
              <w:top w:val="single" w:color="000000" w:sz="4" w:space="0"/>
              <w:left w:val="nil"/>
              <w:bottom w:val="nil"/>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合同管理制度执行情况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重点评价合同管理制度执行情况：是否严格按照合同管理制度和流程开展相关业务活动。</w:t>
            </w:r>
          </w:p>
        </w:tc>
        <w:tc>
          <w:tcPr>
            <w:tcW w:w="972" w:type="pct"/>
            <w:tcBorders>
              <w:top w:val="single" w:color="000000" w:sz="4" w:space="0"/>
              <w:left w:val="nil"/>
              <w:bottom w:val="nil"/>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合同签订审批单、授权书、合同1份、合同台账等</w:t>
            </w:r>
          </w:p>
        </w:tc>
      </w:tr>
      <w:tr>
        <w:tblPrEx>
          <w:tblCellMar>
            <w:top w:w="0" w:type="dxa"/>
            <w:left w:w="108" w:type="dxa"/>
            <w:bottom w:w="0" w:type="dxa"/>
            <w:right w:w="108" w:type="dxa"/>
          </w:tblCellMar>
        </w:tblPrEx>
        <w:trPr>
          <w:trHeight w:val="2390" w:hRule="atLeast"/>
        </w:trPr>
        <w:tc>
          <w:tcPr>
            <w:tcW w:w="368" w:type="pct"/>
            <w:vMerge w:val="restart"/>
            <w:tcBorders>
              <w:top w:val="nil"/>
              <w:left w:val="single" w:color="000000" w:sz="4" w:space="0"/>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4</w:t>
            </w:r>
          </w:p>
        </w:tc>
        <w:tc>
          <w:tcPr>
            <w:tcW w:w="541" w:type="pct"/>
            <w:vMerge w:val="restart"/>
            <w:tcBorders>
              <w:top w:val="nil"/>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内部控制评价与监督</w:t>
            </w:r>
            <w:r>
              <w:rPr>
                <w:rFonts w:hint="eastAsia" w:ascii="宋体" w:hAnsi="宋体"/>
                <w:color w:val="000000"/>
                <w:kern w:val="0"/>
                <w:sz w:val="20"/>
                <w:szCs w:val="20"/>
              </w:rPr>
              <w:br w:type="textWrapping"/>
            </w:r>
            <w:r>
              <w:rPr>
                <w:rFonts w:hint="eastAsia" w:ascii="宋体" w:hAnsi="宋体"/>
                <w:color w:val="000000"/>
                <w:kern w:val="0"/>
                <w:sz w:val="20"/>
                <w:szCs w:val="20"/>
              </w:rPr>
              <w:t>（8分）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4.1</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内控评价与监督开展情况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评价与监督工作开展情况：（1）是否对内部控制建立和实施情况进行评价，并形成评价报告；（2）是否对发现的内控问题提出改进建议；（3）是否根据内部控制监督评价中所发现的问题，制定整改措施，明确责任主体。</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内控评价报告、内审报告等</w:t>
            </w:r>
          </w:p>
        </w:tc>
      </w:tr>
      <w:tr>
        <w:tblPrEx>
          <w:tblCellMar>
            <w:top w:w="0" w:type="dxa"/>
            <w:left w:w="108" w:type="dxa"/>
            <w:bottom w:w="0" w:type="dxa"/>
            <w:right w:w="108" w:type="dxa"/>
          </w:tblCellMar>
        </w:tblPrEx>
        <w:trPr>
          <w:trHeight w:val="1686" w:hRule="atLeast"/>
        </w:trPr>
        <w:tc>
          <w:tcPr>
            <w:tcW w:w="368" w:type="pct"/>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541"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olor w:val="000000"/>
                <w:sz w:val="20"/>
                <w:szCs w:val="20"/>
              </w:rPr>
            </w:pP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4.2</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内控评价与监督结果应用</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重点评价单位内控评价结果应用情况：是否将内部控制评价与监督结果作为完善内部管理制度、绩效管理、监督问责等工作的重要依据。</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结果应用相关证明文件等。</w:t>
            </w:r>
          </w:p>
        </w:tc>
      </w:tr>
      <w:tr>
        <w:tblPrEx>
          <w:tblCellMar>
            <w:top w:w="0" w:type="dxa"/>
            <w:left w:w="108" w:type="dxa"/>
            <w:bottom w:w="0" w:type="dxa"/>
            <w:right w:w="108" w:type="dxa"/>
          </w:tblCellMar>
        </w:tblPrEx>
        <w:trPr>
          <w:trHeight w:val="2123" w:hRule="atLeast"/>
        </w:trPr>
        <w:tc>
          <w:tcPr>
            <w:tcW w:w="368" w:type="pct"/>
            <w:tcBorders>
              <w:top w:val="single" w:color="000000" w:sz="4" w:space="0"/>
              <w:left w:val="single" w:color="000000" w:sz="4" w:space="0"/>
              <w:bottom w:val="nil"/>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5</w:t>
            </w:r>
          </w:p>
        </w:tc>
        <w:tc>
          <w:tcPr>
            <w:tcW w:w="541" w:type="pct"/>
            <w:tcBorders>
              <w:top w:val="single" w:color="000000" w:sz="4" w:space="0"/>
              <w:left w:val="nil"/>
              <w:bottom w:val="nil"/>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内控报告编报质量</w:t>
            </w:r>
            <w:r>
              <w:rPr>
                <w:rFonts w:hint="eastAsia" w:ascii="宋体" w:hAnsi="宋体"/>
                <w:color w:val="000000"/>
                <w:kern w:val="0"/>
                <w:sz w:val="20"/>
                <w:szCs w:val="20"/>
              </w:rPr>
              <w:br w:type="textWrapping"/>
            </w:r>
            <w:r>
              <w:rPr>
                <w:rFonts w:hint="eastAsia" w:ascii="宋体" w:hAnsi="宋体"/>
                <w:color w:val="000000"/>
                <w:kern w:val="0"/>
                <w:sz w:val="20"/>
                <w:szCs w:val="20"/>
              </w:rPr>
              <w:t>(10分)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5.1</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内控报告编报工作开展情况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重点评价单位内控报告编报工作开展情况：是否存在编报不及时、不完整、不规范、数据不准确的情况。</w:t>
            </w:r>
          </w:p>
        </w:tc>
        <w:tc>
          <w:tcPr>
            <w:tcW w:w="972" w:type="pct"/>
            <w:tcBorders>
              <w:top w:val="single" w:color="000000" w:sz="4" w:space="0"/>
              <w:left w:val="nil"/>
              <w:bottom w:val="nil"/>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2024年度内部控制报告（财政部门内控填报系统自行查阅，单位无需提供）</w:t>
            </w:r>
          </w:p>
        </w:tc>
      </w:tr>
      <w:tr>
        <w:tblPrEx>
          <w:tblCellMar>
            <w:top w:w="0" w:type="dxa"/>
            <w:left w:w="108" w:type="dxa"/>
            <w:bottom w:w="0" w:type="dxa"/>
            <w:right w:w="108" w:type="dxa"/>
          </w:tblCellMar>
        </w:tblPrEx>
        <w:trPr>
          <w:trHeight w:val="1833"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6</w:t>
            </w:r>
          </w:p>
        </w:tc>
        <w:tc>
          <w:tcPr>
            <w:tcW w:w="541"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加分项</w:t>
            </w:r>
            <w:r>
              <w:rPr>
                <w:rFonts w:hint="eastAsia" w:ascii="宋体" w:hAnsi="宋体"/>
                <w:color w:val="000000"/>
                <w:kern w:val="0"/>
                <w:sz w:val="20"/>
                <w:szCs w:val="20"/>
              </w:rPr>
              <w:br w:type="textWrapping"/>
            </w:r>
            <w:r>
              <w:rPr>
                <w:rFonts w:hint="eastAsia" w:ascii="宋体" w:hAnsi="宋体"/>
                <w:color w:val="000000"/>
                <w:kern w:val="0"/>
                <w:sz w:val="20"/>
                <w:szCs w:val="20"/>
              </w:rPr>
              <w:t>（8分）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6.1</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单位其他领域内控制度建立情况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重点评价单位是否结合本单位实际，建立健全其他业务领域内部控制体系。</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相关制度、流程图及流程说明等</w:t>
            </w:r>
          </w:p>
        </w:tc>
      </w:tr>
      <w:tr>
        <w:tblPrEx>
          <w:tblCellMar>
            <w:top w:w="0" w:type="dxa"/>
            <w:left w:w="108" w:type="dxa"/>
            <w:bottom w:w="0" w:type="dxa"/>
            <w:right w:w="108" w:type="dxa"/>
          </w:tblCellMar>
        </w:tblPrEx>
        <w:trPr>
          <w:trHeight w:val="3174"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6</w:t>
            </w:r>
          </w:p>
        </w:tc>
        <w:tc>
          <w:tcPr>
            <w:tcW w:w="541" w:type="pc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olor w:val="000000"/>
                <w:sz w:val="20"/>
                <w:szCs w:val="20"/>
              </w:rPr>
            </w:pPr>
            <w:r>
              <w:rPr>
                <w:rFonts w:hint="eastAsia" w:ascii="宋体" w:hAnsi="宋体"/>
                <w:color w:val="000000"/>
                <w:kern w:val="0"/>
                <w:sz w:val="20"/>
                <w:szCs w:val="20"/>
              </w:rPr>
              <w:t>加分项</w:t>
            </w:r>
            <w:r>
              <w:rPr>
                <w:rFonts w:hint="eastAsia" w:ascii="宋体" w:hAnsi="宋体"/>
                <w:color w:val="000000"/>
                <w:kern w:val="0"/>
                <w:sz w:val="20"/>
                <w:szCs w:val="20"/>
              </w:rPr>
              <w:br w:type="textWrapping"/>
            </w:r>
            <w:r>
              <w:rPr>
                <w:rFonts w:hint="eastAsia" w:ascii="宋体" w:hAnsi="宋体"/>
                <w:color w:val="000000"/>
                <w:kern w:val="0"/>
                <w:sz w:val="20"/>
                <w:szCs w:val="20"/>
              </w:rPr>
              <w:t>（8分）</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sz w:val="20"/>
                <w:szCs w:val="20"/>
              </w:rPr>
            </w:pPr>
            <w:r>
              <w:rPr>
                <w:rFonts w:hint="eastAsia" w:ascii="宋体" w:hAnsi="宋体"/>
                <w:color w:val="000000"/>
                <w:kern w:val="0"/>
                <w:sz w:val="20"/>
                <w:szCs w:val="20"/>
              </w:rPr>
              <w:t>6.2</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sz w:val="20"/>
                <w:szCs w:val="20"/>
              </w:rPr>
            </w:pPr>
            <w:r>
              <w:rPr>
                <w:rFonts w:hint="eastAsia" w:ascii="宋体" w:hAnsi="宋体"/>
                <w:color w:val="000000"/>
                <w:kern w:val="0"/>
                <w:sz w:val="20"/>
                <w:szCs w:val="20"/>
              </w:rPr>
              <w:t>单位内部控制信息系统建立及应用情况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重点评价内部控制信息系统建立情况：（1）是否建立了内控信息系统；（2）内控信息系统是否覆盖预算、收支、采购、资产、建设、合同等业务活动；（3）是否实现不同业务系统间互联互通。（4）是否采用财政部门预算管理一体化系统进行单位会计核算，或者单位自建会计核算系统的，是否根据预算管理一体化规范和技术标准要求进行改造，并及时向预算管理一体化系统推送相关数据。</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sz w:val="20"/>
                <w:szCs w:val="20"/>
              </w:rPr>
            </w:pPr>
            <w:r>
              <w:rPr>
                <w:rFonts w:hint="eastAsia" w:ascii="宋体" w:hAnsi="宋体"/>
                <w:color w:val="000000"/>
                <w:kern w:val="0"/>
                <w:sz w:val="20"/>
                <w:szCs w:val="20"/>
              </w:rPr>
              <w:t>信息系统截图、系统说明书等。</w:t>
            </w:r>
          </w:p>
        </w:tc>
      </w:tr>
      <w:tr>
        <w:tblPrEx>
          <w:tblCellMar>
            <w:top w:w="0" w:type="dxa"/>
            <w:left w:w="108" w:type="dxa"/>
            <w:bottom w:w="0" w:type="dxa"/>
            <w:right w:w="108" w:type="dxa"/>
          </w:tblCellMar>
        </w:tblPrEx>
        <w:trPr>
          <w:trHeight w:val="1546" w:hRule="atLeast"/>
        </w:trPr>
        <w:tc>
          <w:tcPr>
            <w:tcW w:w="368" w:type="pct"/>
            <w:tcBorders>
              <w:top w:val="single" w:color="000000" w:sz="4" w:space="0"/>
              <w:left w:val="single" w:color="000000" w:sz="4" w:space="0"/>
              <w:bottom w:val="single" w:color="000000" w:sz="4" w:space="0"/>
              <w:right w:val="single" w:color="000000" w:sz="4" w:space="0"/>
            </w:tcBorders>
            <w:noWrap w:val="0"/>
            <w:vAlign w:val="center"/>
          </w:tcPr>
          <w:p>
            <w:pPr>
              <w:widowControl/>
              <w:autoSpaceDE w:val="0"/>
              <w:spacing w:line="320" w:lineRule="exact"/>
              <w:jc w:val="center"/>
              <w:rPr>
                <w:rFonts w:ascii="宋体" w:hAnsi="宋体"/>
                <w:color w:val="000000"/>
                <w:sz w:val="20"/>
                <w:szCs w:val="20"/>
              </w:rPr>
            </w:pPr>
            <w:r>
              <w:rPr>
                <w:rFonts w:hint="eastAsia" w:ascii="宋体" w:hAnsi="宋体"/>
                <w:color w:val="000000"/>
                <w:sz w:val="20"/>
                <w:szCs w:val="20"/>
              </w:rPr>
              <w:t>7</w:t>
            </w:r>
          </w:p>
        </w:tc>
        <w:tc>
          <w:tcPr>
            <w:tcW w:w="541"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rPr>
                <w:rFonts w:ascii="宋体" w:hAnsi="宋体"/>
                <w:color w:val="000000"/>
                <w:sz w:val="20"/>
                <w:szCs w:val="20"/>
              </w:rPr>
            </w:pPr>
            <w:r>
              <w:rPr>
                <w:rFonts w:hint="eastAsia" w:ascii="宋体" w:hAnsi="宋体"/>
                <w:color w:val="000000"/>
                <w:sz w:val="20"/>
                <w:szCs w:val="20"/>
              </w:rPr>
              <w:t>一票否决项</w:t>
            </w:r>
          </w:p>
        </w:tc>
        <w:tc>
          <w:tcPr>
            <w:tcW w:w="386"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center"/>
              <w:textAlignment w:val="center"/>
              <w:rPr>
                <w:rFonts w:ascii="宋体" w:hAnsi="宋体"/>
                <w:color w:val="000000"/>
                <w:kern w:val="0"/>
                <w:sz w:val="20"/>
                <w:szCs w:val="20"/>
              </w:rPr>
            </w:pPr>
            <w:r>
              <w:rPr>
                <w:rFonts w:hint="eastAsia" w:ascii="宋体" w:hAnsi="宋体"/>
                <w:color w:val="000000"/>
                <w:kern w:val="0"/>
                <w:sz w:val="20"/>
                <w:szCs w:val="20"/>
              </w:rPr>
              <w:t>7.1</w:t>
            </w:r>
          </w:p>
        </w:tc>
        <w:tc>
          <w:tcPr>
            <w:tcW w:w="543"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left"/>
              <w:textAlignment w:val="center"/>
              <w:rPr>
                <w:rFonts w:ascii="宋体" w:hAnsi="宋体"/>
                <w:color w:val="000000"/>
                <w:kern w:val="0"/>
                <w:sz w:val="20"/>
                <w:szCs w:val="20"/>
              </w:rPr>
            </w:pPr>
            <w:r>
              <w:rPr>
                <w:rFonts w:hint="eastAsia" w:ascii="宋体" w:hAnsi="宋体"/>
                <w:color w:val="000000"/>
                <w:kern w:val="0"/>
                <w:sz w:val="20"/>
                <w:szCs w:val="20"/>
              </w:rPr>
              <w:t>单位严重违法违纪情况</w:t>
            </w:r>
          </w:p>
        </w:tc>
        <w:tc>
          <w:tcPr>
            <w:tcW w:w="2190"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kern w:val="0"/>
                <w:sz w:val="20"/>
                <w:szCs w:val="20"/>
              </w:rPr>
            </w:pPr>
            <w:r>
              <w:rPr>
                <w:rFonts w:hint="eastAsia" w:ascii="宋体" w:hAnsi="宋体"/>
                <w:color w:val="000000"/>
                <w:kern w:val="0"/>
                <w:sz w:val="20"/>
                <w:szCs w:val="20"/>
              </w:rPr>
              <w:t>近3年内单位是否存在严重违法违纪行为。</w:t>
            </w:r>
          </w:p>
        </w:tc>
        <w:tc>
          <w:tcPr>
            <w:tcW w:w="972" w:type="pct"/>
            <w:tcBorders>
              <w:top w:val="single" w:color="000000" w:sz="4" w:space="0"/>
              <w:left w:val="nil"/>
              <w:bottom w:val="single" w:color="000000" w:sz="4" w:space="0"/>
              <w:right w:val="single" w:color="000000" w:sz="4" w:space="0"/>
            </w:tcBorders>
            <w:noWrap w:val="0"/>
            <w:vAlign w:val="center"/>
          </w:tcPr>
          <w:p>
            <w:pPr>
              <w:widowControl/>
              <w:autoSpaceDE w:val="0"/>
              <w:spacing w:line="320" w:lineRule="exact"/>
              <w:jc w:val="both"/>
              <w:textAlignment w:val="center"/>
              <w:rPr>
                <w:rFonts w:ascii="宋体" w:hAnsi="宋体"/>
                <w:color w:val="000000"/>
                <w:kern w:val="0"/>
                <w:sz w:val="20"/>
                <w:szCs w:val="20"/>
              </w:rPr>
            </w:pPr>
            <w:r>
              <w:rPr>
                <w:rFonts w:hint="eastAsia" w:ascii="宋体" w:hAnsi="宋体"/>
                <w:color w:val="000000"/>
                <w:kern w:val="0"/>
                <w:sz w:val="20"/>
                <w:szCs w:val="20"/>
              </w:rPr>
              <w:t>—</w:t>
            </w:r>
          </w:p>
        </w:tc>
      </w:tr>
    </w:tbl>
    <w:p>
      <w:pPr>
        <w:pStyle w:val="2"/>
        <w:spacing w:line="500" w:lineRule="exact"/>
        <w:ind w:left="960" w:hanging="960" w:hangingChars="300"/>
        <w:rPr>
          <w:rFonts w:hint="eastAsia" w:eastAsia="仿宋_GB2312"/>
          <w:kern w:val="0"/>
          <w:sz w:val="32"/>
          <w:szCs w:val="32"/>
        </w:rPr>
      </w:pPr>
    </w:p>
    <w:p>
      <w:pPr>
        <w:pStyle w:val="2"/>
        <w:spacing w:line="520" w:lineRule="exact"/>
        <w:ind w:left="720" w:hanging="720" w:hangingChars="300"/>
        <w:rPr>
          <w:rFonts w:hint="eastAsia" w:ascii="宋体" w:hAnsi="宋体" w:cs="宋体"/>
          <w:kern w:val="0"/>
          <w:sz w:val="24"/>
          <w:szCs w:val="21"/>
        </w:rPr>
      </w:pPr>
      <w:r>
        <w:rPr>
          <w:rFonts w:hint="eastAsia" w:ascii="宋体" w:hAnsi="宋体" w:eastAsia="仿宋_GB2312" w:cs="宋体"/>
          <w:kern w:val="0"/>
          <w:sz w:val="24"/>
          <w:szCs w:val="30"/>
        </w:rPr>
        <w:t>备注：相关佐证材料已经在内部控制报告编报系统中上传的，无需重复提供。</w:t>
      </w:r>
    </w:p>
    <w:p>
      <w:pPr>
        <w:spacing w:line="600" w:lineRule="exact"/>
        <w:rPr>
          <w:rFonts w:hint="eastAsia"/>
          <w:sz w:val="28"/>
          <w:szCs w:val="28"/>
        </w:rPr>
      </w:pP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文星简大标宋">
    <w:panose1 w:val="02010609000101010101"/>
    <w:charset w:val="86"/>
    <w:family w:val="modern"/>
    <w:pitch w:val="default"/>
    <w:sig w:usb0="00000000" w:usb1="00000000" w:usb2="00000000" w:usb3="00000000" w:csb0="00000000" w:csb1="00000000"/>
  </w:font>
  <w:font w:name="文星简仿宋">
    <w:altName w:val="方正仿宋_GBK"/>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宋体" w:hAnsi="宋体"/>
        <w:sz w:val="24"/>
        <w:szCs w:val="24"/>
      </w:rPr>
    </w:pPr>
    <w:r>
      <w:rPr>
        <w:rStyle w:val="11"/>
        <w:rFonts w:hint="eastAsia" w:ascii="宋体" w:hAnsi="宋体"/>
        <w:sz w:val="24"/>
        <w:szCs w:val="24"/>
      </w:rPr>
      <w:t xml:space="preserve">— </w:t>
    </w: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24</w:t>
    </w:r>
    <w:r>
      <w:rPr>
        <w:rFonts w:ascii="宋体" w:hAnsi="宋体"/>
        <w:sz w:val="24"/>
        <w:szCs w:val="24"/>
      </w:rPr>
      <w:fldChar w:fldCharType="end"/>
    </w:r>
    <w:r>
      <w:rPr>
        <w:rStyle w:val="11"/>
        <w:rFonts w:hint="eastAsia" w:ascii="宋体" w:hAnsi="宋体"/>
        <w:sz w:val="24"/>
        <w:szCs w:val="24"/>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DMzODVlYWFhNmJlYWVjMWJkMmMzZGEzZjk2MjUifQ=="/>
  </w:docVars>
  <w:rsids>
    <w:rsidRoot w:val="0030601E"/>
    <w:rsid w:val="00024F39"/>
    <w:rsid w:val="00074071"/>
    <w:rsid w:val="000C05C5"/>
    <w:rsid w:val="00152B54"/>
    <w:rsid w:val="00162956"/>
    <w:rsid w:val="001676E5"/>
    <w:rsid w:val="002765B1"/>
    <w:rsid w:val="00286613"/>
    <w:rsid w:val="00293A0C"/>
    <w:rsid w:val="0030601E"/>
    <w:rsid w:val="00310C20"/>
    <w:rsid w:val="00317B52"/>
    <w:rsid w:val="003750F5"/>
    <w:rsid w:val="003A3EAA"/>
    <w:rsid w:val="003D364C"/>
    <w:rsid w:val="004403DC"/>
    <w:rsid w:val="0044261C"/>
    <w:rsid w:val="004706F9"/>
    <w:rsid w:val="004C0A7F"/>
    <w:rsid w:val="00503043"/>
    <w:rsid w:val="00636ABE"/>
    <w:rsid w:val="00652A7C"/>
    <w:rsid w:val="0065790A"/>
    <w:rsid w:val="007029AE"/>
    <w:rsid w:val="00784013"/>
    <w:rsid w:val="007A2409"/>
    <w:rsid w:val="007F4FA3"/>
    <w:rsid w:val="0088113A"/>
    <w:rsid w:val="008B276D"/>
    <w:rsid w:val="008F47DA"/>
    <w:rsid w:val="00945AE3"/>
    <w:rsid w:val="0095598D"/>
    <w:rsid w:val="009A1922"/>
    <w:rsid w:val="00A10A8E"/>
    <w:rsid w:val="00A650E1"/>
    <w:rsid w:val="00A70967"/>
    <w:rsid w:val="00A76C39"/>
    <w:rsid w:val="00AB3FC5"/>
    <w:rsid w:val="00B411F8"/>
    <w:rsid w:val="00B80CBC"/>
    <w:rsid w:val="00BA2F59"/>
    <w:rsid w:val="00BE1FE8"/>
    <w:rsid w:val="00D141A1"/>
    <w:rsid w:val="00D5508A"/>
    <w:rsid w:val="00D87CD0"/>
    <w:rsid w:val="00D94451"/>
    <w:rsid w:val="00D95A7A"/>
    <w:rsid w:val="00DA2701"/>
    <w:rsid w:val="00E16704"/>
    <w:rsid w:val="00E952D8"/>
    <w:rsid w:val="00EB7047"/>
    <w:rsid w:val="00F2447D"/>
    <w:rsid w:val="00F94A95"/>
    <w:rsid w:val="00FE1A26"/>
    <w:rsid w:val="07FE958F"/>
    <w:rsid w:val="09F409C0"/>
    <w:rsid w:val="0ABD45B3"/>
    <w:rsid w:val="0CF92500"/>
    <w:rsid w:val="11FA7C1A"/>
    <w:rsid w:val="1F2E7491"/>
    <w:rsid w:val="250A0444"/>
    <w:rsid w:val="26CE2EFB"/>
    <w:rsid w:val="399D3B3D"/>
    <w:rsid w:val="3BF721DE"/>
    <w:rsid w:val="47A77A53"/>
    <w:rsid w:val="555E2C08"/>
    <w:rsid w:val="5C2630E2"/>
    <w:rsid w:val="61AC2F5E"/>
    <w:rsid w:val="66415C11"/>
    <w:rsid w:val="6FA819A2"/>
    <w:rsid w:val="70340726"/>
    <w:rsid w:val="70DC2C1B"/>
    <w:rsid w:val="739776E6"/>
    <w:rsid w:val="75A95880"/>
    <w:rsid w:val="79DF8125"/>
    <w:rsid w:val="7CEF5906"/>
    <w:rsid w:val="7FAB3B5D"/>
    <w:rsid w:val="AEBD7C42"/>
    <w:rsid w:val="BADFAB37"/>
    <w:rsid w:val="EBFEE4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firstLineChars="200"/>
    </w:pPr>
    <w:rPr>
      <w:rFonts w:ascii="仿宋_GB2312"/>
    </w:rPr>
  </w:style>
  <w:style w:type="paragraph" w:styleId="4">
    <w:name w:val="Plain Text"/>
    <w:basedOn w:val="1"/>
    <w:qFormat/>
    <w:uiPriority w:val="0"/>
    <w:rPr>
      <w:rFonts w:ascii="宋体" w:hAnsi="Courier New" w:cs="文星简大标宋"/>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character" w:styleId="11">
    <w:name w:val="page number"/>
    <w:basedOn w:val="10"/>
    <w:qFormat/>
    <w:uiPriority w:val="0"/>
  </w:style>
  <w:style w:type="character" w:styleId="12">
    <w:name w:val="annotation reference"/>
    <w:qFormat/>
    <w:uiPriority w:val="0"/>
    <w:rPr>
      <w:sz w:val="21"/>
      <w:szCs w:val="21"/>
    </w:rPr>
  </w:style>
  <w:style w:type="paragraph" w:customStyle="1" w:styleId="13">
    <w:name w:val="样式1"/>
    <w:basedOn w:val="1"/>
    <w:qFormat/>
    <w:uiPriority w:val="0"/>
    <w:pPr>
      <w:spacing w:line="600" w:lineRule="atLeast"/>
    </w:pPr>
    <w:rPr>
      <w:rFonts w:eastAsia="文星简仿宋"/>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beelink</Company>
  <Pages>1</Pages>
  <Words>2362</Words>
  <Characters>13466</Characters>
  <Lines>112</Lines>
  <Paragraphs>31</Paragraphs>
  <TotalTime>45.6666666666667</TotalTime>
  <ScaleCrop>false</ScaleCrop>
  <LinksUpToDate>false</LinksUpToDate>
  <CharactersWithSpaces>15797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2021-01-09T10:30:00Z</dcterms:created>
  <dc:creator>刘冰</dc:creator>
  <cp:lastModifiedBy>user</cp:lastModifiedBy>
  <dcterms:modified xsi:type="dcterms:W3CDTF">2024-03-07T03:18:12Z</dcterms:modified>
  <dc:title>山东省财政厅文件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1E4A4ED49D314F84A966531BE9AF7A4A_13</vt:lpwstr>
  </property>
</Properties>
</file>