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4DF54">
      <w:pPr>
        <w:overflowPunct w:val="0"/>
        <w:spacing w:line="58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43416C7C">
      <w:pPr>
        <w:widowControl w:val="0"/>
        <w:spacing w:line="600" w:lineRule="exact"/>
        <w:jc w:val="center"/>
        <w:rPr>
          <w:rFonts w:hint="eastAsia" w:ascii="方正小标宋简体" w:eastAsia="方正小标宋简体"/>
          <w:spacing w:val="-12"/>
          <w:sz w:val="44"/>
          <w:szCs w:val="44"/>
        </w:rPr>
      </w:pPr>
    </w:p>
    <w:p w14:paraId="48419CBA">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简体" w:eastAsia="方正小标宋简体"/>
          <w:spacing w:val="-12"/>
          <w:sz w:val="44"/>
          <w:szCs w:val="44"/>
        </w:rPr>
      </w:pPr>
      <w:r>
        <w:rPr>
          <w:rFonts w:hint="eastAsia" w:ascii="方正小标宋简体" w:eastAsia="方正小标宋简体"/>
          <w:spacing w:val="-12"/>
          <w:sz w:val="44"/>
          <w:szCs w:val="44"/>
        </w:rPr>
        <w:t>关于《</w:t>
      </w:r>
      <w:r>
        <w:rPr>
          <w:rFonts w:hint="eastAsia" w:ascii="方正小标宋简体" w:hAnsi="方正小标宋简体" w:eastAsia="方正小标宋简体" w:cs="方正小标宋简体"/>
          <w:sz w:val="44"/>
          <w:szCs w:val="44"/>
          <w:lang w:val="en-US" w:eastAsia="zh-CN"/>
        </w:rPr>
        <w:t>关于深入落实财政涉企资金“绿色门槛”机制的实施意见（征求意见稿）</w:t>
      </w:r>
      <w:r>
        <w:rPr>
          <w:rFonts w:hint="eastAsia" w:ascii="方正小标宋简体" w:eastAsia="方正小标宋简体"/>
          <w:spacing w:val="-12"/>
          <w:sz w:val="44"/>
          <w:szCs w:val="44"/>
        </w:rPr>
        <w:t>》</w:t>
      </w:r>
    </w:p>
    <w:p w14:paraId="05BEB550">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ascii="方正小标宋简体" w:eastAsia="方正小标宋简体"/>
          <w:spacing w:val="-12"/>
          <w:sz w:val="44"/>
          <w:szCs w:val="44"/>
        </w:rPr>
      </w:pPr>
      <w:r>
        <w:rPr>
          <w:rFonts w:hint="eastAsia" w:ascii="方正小标宋简体" w:eastAsia="方正小标宋简体"/>
          <w:spacing w:val="-12"/>
          <w:sz w:val="44"/>
          <w:szCs w:val="44"/>
        </w:rPr>
        <w:t>的</w:t>
      </w:r>
      <w:r>
        <w:rPr>
          <w:rFonts w:hint="eastAsia" w:ascii="方正小标宋简体" w:eastAsia="方正小标宋简体"/>
          <w:spacing w:val="-12"/>
          <w:sz w:val="44"/>
          <w:szCs w:val="44"/>
          <w:lang w:val="en-US" w:eastAsia="zh-CN"/>
        </w:rPr>
        <w:t>修订</w:t>
      </w:r>
      <w:r>
        <w:rPr>
          <w:rFonts w:hint="eastAsia" w:ascii="方正小标宋简体" w:eastAsia="方正小标宋简体"/>
          <w:spacing w:val="-12"/>
          <w:sz w:val="44"/>
          <w:szCs w:val="44"/>
        </w:rPr>
        <w:t>说明</w:t>
      </w:r>
    </w:p>
    <w:p w14:paraId="1A39259A">
      <w:pPr>
        <w:widowControl w:val="0"/>
        <w:spacing w:line="600" w:lineRule="exact"/>
        <w:rPr>
          <w:rFonts w:hint="eastAsia" w:ascii="仿宋" w:hAnsi="仿宋" w:eastAsia="仿宋"/>
          <w:sz w:val="32"/>
          <w:szCs w:val="32"/>
        </w:rPr>
      </w:pPr>
    </w:p>
    <w:p w14:paraId="49837AB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cs="仿宋_GB2312"/>
          <w:color w:val="000000"/>
          <w:kern w:val="0"/>
          <w:sz w:val="32"/>
          <w:szCs w:val="32"/>
          <w:lang w:val="zh-CN"/>
        </w:rPr>
        <w:t>为</w:t>
      </w:r>
      <w:r>
        <w:rPr>
          <w:rFonts w:hint="eastAsia" w:ascii="仿宋_GB2312" w:eastAsia="仿宋_GB2312" w:cs="仿宋_GB2312"/>
          <w:color w:val="000000"/>
          <w:kern w:val="0"/>
          <w:sz w:val="32"/>
          <w:szCs w:val="32"/>
          <w:lang w:val="en-US" w:eastAsia="zh-CN"/>
        </w:rPr>
        <w:t>深入贯彻习近平生态文明思想，推动</w:t>
      </w:r>
      <w:r>
        <w:rPr>
          <w:rFonts w:hint="eastAsia" w:ascii="仿宋_GB2312" w:eastAsia="仿宋_GB2312" w:cs="仿宋_GB2312"/>
          <w:color w:val="000000"/>
          <w:kern w:val="0"/>
          <w:sz w:val="32"/>
          <w:szCs w:val="32"/>
          <w:lang w:val="zh-CN"/>
        </w:rPr>
        <w:t>财政涉企资金“绿色门槛”机制落实，充分发挥财政政策资金引导作用，</w:t>
      </w:r>
      <w:r>
        <w:rPr>
          <w:rFonts w:hint="eastAsia" w:ascii="仿宋_GB2312" w:eastAsia="仿宋_GB2312" w:cs="仿宋_GB2312"/>
          <w:color w:val="000000"/>
          <w:kern w:val="0"/>
          <w:sz w:val="32"/>
          <w:szCs w:val="32"/>
          <w:lang w:val="en-US" w:eastAsia="zh-CN"/>
        </w:rPr>
        <w:t>助力</w:t>
      </w:r>
      <w:r>
        <w:rPr>
          <w:rFonts w:hint="eastAsia" w:ascii="仿宋_GB2312" w:eastAsia="仿宋_GB2312" w:cs="仿宋_GB2312"/>
          <w:color w:val="000000"/>
          <w:kern w:val="0"/>
          <w:sz w:val="32"/>
          <w:szCs w:val="32"/>
          <w:lang w:val="zh-CN"/>
        </w:rPr>
        <w:t>全省生态文明建设和绿色低碳发展，</w:t>
      </w:r>
      <w:r>
        <w:rPr>
          <w:rFonts w:hint="eastAsia" w:ascii="仿宋_GB2312" w:eastAsia="仿宋_GB2312"/>
          <w:sz w:val="32"/>
          <w:szCs w:val="32"/>
          <w:lang w:val="en-US" w:eastAsia="zh-CN"/>
        </w:rPr>
        <w:t>省财政厅会同省发展改革委、省生态环境厅等有关部门，对</w:t>
      </w:r>
      <w:r>
        <w:rPr>
          <w:rFonts w:hint="eastAsia" w:ascii="仿宋_GB2312" w:hAnsi="仿宋" w:eastAsia="仿宋_GB2312"/>
          <w:sz w:val="32"/>
          <w:szCs w:val="32"/>
          <w:lang w:val="en-US" w:eastAsia="zh-CN"/>
        </w:rPr>
        <w:t>《关于深入推进财政涉企资金“绿色门槛”制度的实施意见》（鲁财资环〔2022〕39号）</w:t>
      </w:r>
      <w:r>
        <w:rPr>
          <w:rFonts w:hint="eastAsia" w:ascii="仿宋_GB2312" w:eastAsia="仿宋_GB2312"/>
          <w:sz w:val="32"/>
          <w:szCs w:val="32"/>
          <w:lang w:val="en-US" w:eastAsia="zh-CN"/>
        </w:rPr>
        <w:t>进行了修改完善</w:t>
      </w:r>
      <w:r>
        <w:rPr>
          <w:rFonts w:hint="eastAsia" w:ascii="仿宋_GB2312" w:eastAsia="仿宋_GB2312"/>
          <w:sz w:val="32"/>
          <w:szCs w:val="32"/>
          <w:lang w:eastAsia="zh-CN"/>
        </w:rPr>
        <w:t>，</w:t>
      </w:r>
      <w:r>
        <w:rPr>
          <w:rFonts w:hint="eastAsia" w:ascii="仿宋_GB2312" w:eastAsia="仿宋_GB2312"/>
          <w:sz w:val="32"/>
          <w:szCs w:val="32"/>
          <w:lang w:val="en-US" w:eastAsia="zh-CN"/>
        </w:rPr>
        <w:t>起草形成了</w:t>
      </w:r>
      <w:r>
        <w:rPr>
          <w:rFonts w:hint="eastAsia" w:ascii="仿宋_GB2312" w:eastAsia="仿宋_GB2312"/>
          <w:sz w:val="32"/>
          <w:szCs w:val="32"/>
        </w:rPr>
        <w:t>《</w:t>
      </w:r>
      <w:r>
        <w:rPr>
          <w:rFonts w:hint="eastAsia" w:ascii="仿宋_GB2312" w:eastAsia="仿宋_GB2312"/>
          <w:sz w:val="32"/>
          <w:szCs w:val="32"/>
          <w:lang w:val="en-US" w:eastAsia="zh-CN"/>
        </w:rPr>
        <w:t>关于深入落实财政涉企资金“绿色门槛”机制的实施意见</w:t>
      </w:r>
      <w:r>
        <w:rPr>
          <w:rFonts w:hint="eastAsia" w:ascii="仿宋_GB2312" w:eastAsia="仿宋_GB2312"/>
          <w:sz w:val="32"/>
          <w:szCs w:val="32"/>
          <w:lang w:eastAsia="zh-CN"/>
        </w:rPr>
        <w:t>（</w:t>
      </w:r>
      <w:r>
        <w:rPr>
          <w:rFonts w:hint="eastAsia" w:ascii="仿宋_GB2312" w:eastAsia="仿宋_GB2312"/>
          <w:sz w:val="32"/>
          <w:szCs w:val="32"/>
          <w:lang w:val="en-US" w:eastAsia="zh-CN"/>
        </w:rPr>
        <w:t>征求意见稿</w:t>
      </w:r>
      <w:r>
        <w:rPr>
          <w:rFonts w:hint="eastAsia" w:ascii="仿宋_GB2312" w:eastAsia="仿宋_GB2312"/>
          <w:sz w:val="32"/>
          <w:szCs w:val="32"/>
          <w:lang w:eastAsia="zh-CN"/>
        </w:rPr>
        <w:t>）</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现将有关情况说明如下：</w:t>
      </w:r>
    </w:p>
    <w:p w14:paraId="77D33F39">
      <w:pPr>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一、修订必要性</w:t>
      </w:r>
    </w:p>
    <w:p w14:paraId="7ACC044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2023年，省财政厅会同省发展改革委、省科技厅等15部门印发并实施《关于深入推进财政涉企资金“绿色门槛”制度的实施意见》（鲁财资环〔2022〕39号），建立了财政涉企资金“绿色门槛”机制，根据企业与绿色发展的相关性，实施差别化财政扶持政策，引导企业自觉走绿色发展路子。按照行政规范性文件规定，鲁财资环〔2022〕39号文件将于2025年12月31日到期。考虑到财政涉企资金“绿色门槛”机制实施以来，强化了财政资金绿色导向作用，在构建绿色产业体系、推动新旧动能转换、降低生态环境损害等方面取得明显成效，符合山东省建设绿色低碳高质量发展先行区建设和美丽山东建设的相关要求，有必要对财政涉企资金“绿色门槛”机制进一步修改完善后继续实施。</w:t>
      </w:r>
    </w:p>
    <w:p w14:paraId="4B70A732">
      <w:pPr>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二、修订内容</w:t>
      </w:r>
    </w:p>
    <w:p w14:paraId="538796A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经过评估，主要从四方面作了8处修改。一是按照中央和省委关于整治形式主义为基层减负的有关规定，不再单列“指导思想”，对原文开头部分做了精简。二是根据国家和省对生态环境、节能减排等方面的新规定，对财政资金不予支持的范围做了规范表述。三是根据部门职能分工，增补省法院、省检察院、省公安厅为联合印发部门，并明确了相关违法违规信息共享要求。四是根据政策运行实际，对轻微违法（违规）容错机制判定程序做了进一步明确。五是进一步规范了有关表述。</w:t>
      </w:r>
    </w:p>
    <w:p w14:paraId="11366E80">
      <w:pPr>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三、修订后的文件主要内容</w:t>
      </w:r>
    </w:p>
    <w:p w14:paraId="02B5F471">
      <w:pPr>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修订后《</w:t>
      </w:r>
      <w:r>
        <w:rPr>
          <w:rFonts w:hint="eastAsia" w:ascii="仿宋_GB2312" w:hAnsi="宋体" w:eastAsia="仿宋_GB2312" w:cs="宋体"/>
          <w:sz w:val="32"/>
          <w:szCs w:val="32"/>
          <w:lang w:val="en-US" w:eastAsia="zh-CN"/>
        </w:rPr>
        <w:t>意见</w:t>
      </w:r>
      <w:r>
        <w:rPr>
          <w:rFonts w:hint="eastAsia" w:ascii="仿宋_GB2312" w:hAnsi="宋体" w:eastAsia="仿宋_GB2312" w:cs="宋体"/>
          <w:sz w:val="32"/>
          <w:szCs w:val="32"/>
          <w:lang w:eastAsia="zh-CN"/>
        </w:rPr>
        <w:t>》包括</w:t>
      </w:r>
      <w:r>
        <w:rPr>
          <w:rFonts w:hint="eastAsia" w:ascii="仿宋_GB2312" w:hAnsi="宋体" w:eastAsia="仿宋_GB2312" w:cs="宋体"/>
          <w:sz w:val="32"/>
          <w:szCs w:val="32"/>
          <w:lang w:val="en-US" w:eastAsia="zh-CN"/>
        </w:rPr>
        <w:t>三</w:t>
      </w:r>
      <w:r>
        <w:rPr>
          <w:rFonts w:hint="eastAsia" w:ascii="仿宋_GB2312" w:hAnsi="宋体" w:eastAsia="仿宋_GB2312" w:cs="宋体"/>
          <w:sz w:val="32"/>
          <w:szCs w:val="32"/>
          <w:lang w:eastAsia="zh-CN"/>
        </w:rPr>
        <w:t>部分内容：一是明确“绿色门槛”具体内容，即对节能、排污指标优于国家和地方标准，符合生态文明建设和绿色低碳发展要求的7类企业优先支持；对节能、排污指标达不到国家和地方标准，不符合绿色发展要求的6类企业不予支持。</w:t>
      </w:r>
      <w:r>
        <w:rPr>
          <w:rFonts w:hint="eastAsia" w:ascii="仿宋_GB2312" w:hAnsi="宋体" w:eastAsia="仿宋_GB2312" w:cs="宋体"/>
          <w:sz w:val="32"/>
          <w:szCs w:val="32"/>
          <w:lang w:val="en-US" w:eastAsia="zh-CN"/>
        </w:rPr>
        <w:t>二</w:t>
      </w:r>
      <w:r>
        <w:rPr>
          <w:rFonts w:hint="eastAsia" w:ascii="仿宋_GB2312" w:hAnsi="宋体" w:eastAsia="仿宋_GB2312" w:cs="宋体"/>
          <w:sz w:val="32"/>
          <w:szCs w:val="32"/>
          <w:lang w:eastAsia="zh-CN"/>
        </w:rPr>
        <w:t>是明确落实责任，包括严格落实企业主体责任、严格履行部门审核把关责任、严格进行责任追究。</w:t>
      </w:r>
      <w:r>
        <w:rPr>
          <w:rFonts w:hint="eastAsia" w:ascii="仿宋_GB2312" w:hAnsi="宋体" w:eastAsia="仿宋_GB2312" w:cs="宋体"/>
          <w:sz w:val="32"/>
          <w:szCs w:val="32"/>
          <w:lang w:val="en-US" w:eastAsia="zh-CN"/>
        </w:rPr>
        <w:t>三</w:t>
      </w:r>
      <w:r>
        <w:rPr>
          <w:rFonts w:hint="eastAsia" w:ascii="仿宋_GB2312" w:hAnsi="宋体" w:eastAsia="仿宋_GB2312" w:cs="宋体"/>
          <w:sz w:val="32"/>
          <w:szCs w:val="32"/>
          <w:lang w:eastAsia="zh-CN"/>
        </w:rPr>
        <w:t>是明确保障措施，包括加强部门协调配合、完善容错机制、推动信息共享、加大宣传引导。</w:t>
      </w:r>
    </w:p>
    <w:p w14:paraId="1C37F20F">
      <w:pPr>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四、主要政策依据</w:t>
      </w:r>
    </w:p>
    <w:p w14:paraId="66320547">
      <w:pPr>
        <w:overflowPunct w:val="0"/>
        <w:spacing w:beforeLines="0" w:afterLines="0"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文件修订的政策依据：</w:t>
      </w: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2"/>
        </w:rPr>
        <w:t>中华人民共和国预算法</w:t>
      </w: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2"/>
        </w:rPr>
        <w:t>中华人民共和国预算法实施条例</w:t>
      </w:r>
      <w:r>
        <w:rPr>
          <w:rFonts w:hint="eastAsia" w:ascii="仿宋_GB2312" w:hAnsi="仿宋_GB2312" w:eastAsia="仿宋_GB2312" w:cs="仿宋_GB2312"/>
          <w:sz w:val="32"/>
          <w:szCs w:val="30"/>
        </w:rPr>
        <w:t>》</w:t>
      </w:r>
      <w:bookmarkStart w:id="0" w:name="OLE_LINK1"/>
      <w:r>
        <w:rPr>
          <w:rFonts w:hint="eastAsia" w:ascii="仿宋_GB2312" w:eastAsia="仿宋_GB2312"/>
          <w:sz w:val="32"/>
          <w:szCs w:val="32"/>
        </w:rPr>
        <w:t>《中华人民共和国环境保护法》</w:t>
      </w:r>
      <w:bookmarkEnd w:id="0"/>
      <w:r>
        <w:rPr>
          <w:rFonts w:hint="eastAsia" w:ascii="仿宋_GB2312" w:hAnsi="仿宋_GB2312" w:eastAsia="仿宋_GB2312" w:cs="仿宋_GB2312"/>
          <w:kern w:val="2"/>
          <w:sz w:val="32"/>
          <w:szCs w:val="32"/>
          <w:lang w:val="en-US" w:eastAsia="zh-CN" w:bidi="ar-SA"/>
        </w:rPr>
        <w:t>《中华人民共和国固体废物污染环境防治法》《国务院关于支持山东深化新旧动能转换推动绿色低碳高质量发展的意见》（国发〔2022〕18号）、</w:t>
      </w:r>
      <w:r>
        <w:rPr>
          <w:rFonts w:hint="eastAsia" w:ascii="仿宋_GB2312" w:eastAsia="仿宋_GB2312"/>
          <w:sz w:val="32"/>
          <w:lang w:val="en-US" w:eastAsia="zh-CN"/>
        </w:rPr>
        <w:t>《固定资产投资项目节能审查和碳排放评价办法》（国家发展和改革委员会令第31号）、</w:t>
      </w:r>
      <w:r>
        <w:rPr>
          <w:rFonts w:hint="eastAsia" w:ascii="仿宋_GB2312" w:hAnsi="仿宋_GB2312" w:eastAsia="仿宋_GB2312" w:cs="仿宋_GB2312"/>
          <w:kern w:val="2"/>
          <w:sz w:val="32"/>
          <w:szCs w:val="32"/>
          <w:lang w:val="en-US" w:eastAsia="zh-CN" w:bidi="ar-SA"/>
        </w:rPr>
        <w:t>《中共山东省委 山东省人民政府关于全面推进美丽山东建设的实施意见》（鲁发〔2024〕7 号）、</w:t>
      </w:r>
      <w:r>
        <w:rPr>
          <w:rFonts w:hint="eastAsia" w:ascii="仿宋_GB2312" w:eastAsia="仿宋_GB2312"/>
          <w:sz w:val="32"/>
          <w:lang w:val="en-US" w:eastAsia="zh-CN"/>
        </w:rPr>
        <w:t>《山东省</w:t>
      </w:r>
      <w:bookmarkStart w:id="1" w:name="OLE_LINK2"/>
      <w:r>
        <w:rPr>
          <w:rFonts w:hint="eastAsia" w:ascii="仿宋_GB2312" w:eastAsia="仿宋_GB2312"/>
          <w:sz w:val="32"/>
          <w:lang w:val="en-US" w:eastAsia="zh-CN"/>
        </w:rPr>
        <w:t>企业环境信用</w:t>
      </w:r>
      <w:bookmarkEnd w:id="1"/>
      <w:r>
        <w:rPr>
          <w:rFonts w:hint="eastAsia" w:ascii="仿宋_GB2312" w:eastAsia="仿宋_GB2312"/>
          <w:sz w:val="32"/>
          <w:lang w:val="en-US" w:eastAsia="zh-CN"/>
        </w:rPr>
        <w:t>评价办法》（鲁环发〔2025〕10号）</w:t>
      </w:r>
      <w:r>
        <w:rPr>
          <w:rFonts w:hint="eastAsia" w:ascii="仿宋_GB2312" w:hAnsi="仿宋_GB2312" w:eastAsia="仿宋_GB2312" w:cs="仿宋_GB2312"/>
          <w:sz w:val="32"/>
          <w:szCs w:val="32"/>
          <w:lang w:eastAsia="zh-CN"/>
        </w:rPr>
        <w:t>。</w:t>
      </w:r>
    </w:p>
    <w:p w14:paraId="0FD6B8C2">
      <w:pPr>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p>
    <w:p w14:paraId="06D32293">
      <w:pPr>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p>
    <w:p w14:paraId="40CE79FC">
      <w:pPr>
        <w:overflowPunct w:val="0"/>
        <w:spacing w:line="580" w:lineRule="exact"/>
        <w:ind w:firstLine="640" w:firstLineChars="200"/>
        <w:rPr>
          <w:rFonts w:hint="eastAsia" w:ascii="仿宋_GB2312" w:eastAsia="仿宋_GB2312"/>
          <w:sz w:val="32"/>
          <w:szCs w:val="32"/>
        </w:rPr>
      </w:pPr>
    </w:p>
    <w:p w14:paraId="7B3CD412">
      <w:pPr>
        <w:overflowPunct w:val="0"/>
        <w:spacing w:line="580" w:lineRule="exact"/>
        <w:ind w:firstLine="640" w:firstLineChars="200"/>
        <w:rPr>
          <w:rFonts w:hint="eastAsia" w:ascii="仿宋_GB2312" w:eastAsia="仿宋_GB2312"/>
          <w:sz w:val="32"/>
          <w:szCs w:val="32"/>
        </w:rPr>
      </w:pPr>
    </w:p>
    <w:p w14:paraId="4FF2DCAD">
      <w:pPr>
        <w:overflowPunct w:val="0"/>
        <w:spacing w:line="580" w:lineRule="exact"/>
        <w:ind w:firstLine="640" w:firstLineChars="200"/>
        <w:rPr>
          <w:rFonts w:hint="eastAsia" w:ascii="仿宋_GB2312" w:eastAsia="仿宋_GB2312"/>
          <w:sz w:val="32"/>
          <w:szCs w:val="32"/>
        </w:rPr>
      </w:pPr>
    </w:p>
    <w:p w14:paraId="71956FE4">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default" w:ascii="仿宋_GB2312" w:eastAsia="仿宋_GB2312"/>
          <w:sz w:val="32"/>
          <w:szCs w:val="32"/>
          <w:lang w:val="en-US" w:eastAsia="zh-CN"/>
        </w:rPr>
      </w:pPr>
    </w:p>
    <w:p w14:paraId="615901CF">
      <w:bookmarkStart w:id="2" w:name="_GoBack"/>
      <w:bookmarkEnd w:id="2"/>
    </w:p>
    <w:sectPr>
      <w:footerReference r:id="rId3" w:type="default"/>
      <w:pgSz w:w="11906" w:h="16838"/>
      <w:pgMar w:top="1871" w:right="1417"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F6FF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66E9C5">
                          <w:pPr>
                            <w:pStyle w:val="2"/>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66E9C5">
                    <w:pPr>
                      <w:pStyle w:val="2"/>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327345"/>
    <w:rsid w:val="4E32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Body Text First Indent 21"/>
    <w:qFormat/>
    <w:uiPriority w:val="0"/>
    <w:pPr>
      <w:widowControl w:val="0"/>
      <w:spacing w:after="120" w:line="588" w:lineRule="exact"/>
      <w:ind w:left="200" w:leftChars="200" w:firstLine="420" w:firstLineChars="200"/>
      <w:jc w:val="both"/>
      <w:textAlignment w:val="center"/>
    </w:pPr>
    <w:rPr>
      <w:rFonts w:ascii="仿宋_GB2312" w:hAnsi="Times New Roman" w:eastAsia="仿宋_GB2312" w:cs="仿宋_GB2312"/>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2025-11-21T02:41:00Z</dcterms:created>
  <dc:creator>伟业</dc:creator>
  <cp:lastModifiedBy>伟业</cp:lastModifiedBy>
  <dcterms:modified xsi:type="dcterms:W3CDTF">2025-11-21T02:41:54Z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FF6385FE89F74E7D84607C04DE10C08B_11</vt:lpwstr>
  </property>
  <property fmtid="{D5CDD505-2E9C-101B-9397-08002B2CF9AE}" pid="4" name="KSOTemplateDocerSaveRecord">
    <vt:lpwstr>eyJoZGlkIjoiYjA0YmFhYmYzZTA3ODAxYWU1Y2RjNWUwM2FhZGI5NzgiLCJ1c2VySWQiOiI1OTk2MzQyODIifQ==</vt:lpwstr>
  </property>
</Properties>
</file>