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3A140">
      <w:pPr>
        <w:widowControl w:val="0"/>
        <w:overflowPunct/>
        <w:adjustRightInd/>
        <w:snapToGrid/>
        <w:spacing w:line="600" w:lineRule="exact"/>
        <w:ind w:firstLine="0" w:firstLineChars="0"/>
        <w:rPr>
          <w:rFonts w:ascii="黑体" w:hAnsi="黑体" w:eastAsia="黑体"/>
          <w:sz w:val="32"/>
          <w:szCs w:val="32"/>
        </w:rPr>
      </w:pPr>
    </w:p>
    <w:p w14:paraId="4A7CFCED">
      <w:pPr>
        <w:widowControl w:val="0"/>
        <w:spacing w:line="600" w:lineRule="exact"/>
        <w:jc w:val="center"/>
        <w:rPr>
          <w:rFonts w:ascii="方正小标宋简体" w:eastAsia="方正小标宋简体"/>
          <w:sz w:val="44"/>
          <w:szCs w:val="44"/>
        </w:rPr>
      </w:pPr>
      <w:r>
        <w:rPr>
          <w:rFonts w:hint="eastAsia" w:ascii="方正小标宋简体" w:eastAsia="方正小标宋简体"/>
          <w:sz w:val="44"/>
          <w:szCs w:val="44"/>
        </w:rPr>
        <w:t>山东省省级政府投资基金管理办法</w:t>
      </w:r>
    </w:p>
    <w:p w14:paraId="3D87CBFD">
      <w:pPr>
        <w:widowControl w:val="0"/>
        <w:spacing w:line="600" w:lineRule="exact"/>
        <w:jc w:val="center"/>
        <w:rPr>
          <w:rFonts w:hint="eastAsia" w:ascii="楷体_GB2312" w:eastAsia="楷体_GB2312"/>
          <w:sz w:val="32"/>
          <w:szCs w:val="32"/>
        </w:rPr>
      </w:pPr>
      <w:r>
        <w:rPr>
          <w:rFonts w:hint="eastAsia" w:ascii="楷体_GB2312" w:eastAsia="楷体_GB2312"/>
          <w:sz w:val="32"/>
          <w:szCs w:val="32"/>
        </w:rPr>
        <w:t>（</w:t>
      </w:r>
      <w:r>
        <w:rPr>
          <w:rFonts w:hint="eastAsia" w:ascii="楷体_GB2312" w:eastAsia="楷体_GB2312"/>
          <w:sz w:val="32"/>
          <w:szCs w:val="32"/>
          <w:lang w:eastAsia="zh-CN"/>
        </w:rPr>
        <w:t>征求意见</w:t>
      </w:r>
      <w:r>
        <w:rPr>
          <w:rFonts w:hint="eastAsia" w:ascii="楷体_GB2312" w:eastAsia="楷体_GB2312"/>
          <w:sz w:val="32"/>
          <w:szCs w:val="32"/>
        </w:rPr>
        <w:t>稿）</w:t>
      </w:r>
    </w:p>
    <w:p w14:paraId="61F1AD3A">
      <w:pPr>
        <w:widowControl w:val="0"/>
        <w:spacing w:line="600" w:lineRule="exact"/>
        <w:rPr>
          <w:rFonts w:ascii="仿宋_GB2312" w:eastAsia="仿宋_GB2312"/>
          <w:sz w:val="32"/>
          <w:szCs w:val="32"/>
        </w:rPr>
      </w:pPr>
    </w:p>
    <w:p w14:paraId="72346E23">
      <w:pPr>
        <w:widowControl w:val="0"/>
        <w:spacing w:line="600" w:lineRule="exact"/>
        <w:jc w:val="center"/>
        <w:rPr>
          <w:rFonts w:ascii="黑体" w:hAnsi="黑体" w:eastAsia="黑体" w:cs="黑体"/>
          <w:bCs/>
          <w:sz w:val="32"/>
          <w:szCs w:val="32"/>
        </w:rPr>
      </w:pPr>
      <w:r>
        <w:rPr>
          <w:rFonts w:hint="eastAsia" w:ascii="黑体" w:hAnsi="黑体" w:eastAsia="黑体" w:cs="黑体"/>
          <w:bCs/>
          <w:sz w:val="32"/>
          <w:szCs w:val="32"/>
        </w:rPr>
        <w:t>第一章　总　则</w:t>
      </w:r>
    </w:p>
    <w:p w14:paraId="75E83239">
      <w:pPr>
        <w:widowControl w:val="0"/>
        <w:spacing w:line="600" w:lineRule="exact"/>
        <w:ind w:firstLine="640" w:firstLineChars="200"/>
        <w:rPr>
          <w:rFonts w:ascii="仿宋_GB2312" w:eastAsia="仿宋_GB2312"/>
          <w:sz w:val="32"/>
          <w:szCs w:val="32"/>
        </w:rPr>
      </w:pPr>
    </w:p>
    <w:p w14:paraId="408A158E">
      <w:pPr>
        <w:pStyle w:val="3"/>
        <w:widowControl w:val="0"/>
        <w:pBdr>
          <w:top w:val="none" w:color="auto" w:sz="0" w:space="0"/>
          <w:left w:val="none" w:color="auto" w:sz="0" w:space="0"/>
          <w:bottom w:val="none" w:color="auto" w:sz="0" w:space="0"/>
          <w:right w:val="none" w:color="auto" w:sz="0" w:space="0"/>
        </w:pBdr>
        <w:shd w:val="clear" w:fill="FFFFFF"/>
        <w:spacing w:beforeAutospacing="0" w:afterAutospacing="0" w:line="600"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 xml:space="preserve">第一条 </w:t>
      </w:r>
      <w:r>
        <w:rPr>
          <w:rFonts w:hint="eastAsia" w:ascii="仿宋_GB2312" w:eastAsia="仿宋_GB2312"/>
          <w:sz w:val="32"/>
          <w:szCs w:val="32"/>
        </w:rPr>
        <w:t>为</w:t>
      </w:r>
      <w:r>
        <w:rPr>
          <w:rFonts w:hint="eastAsia" w:ascii="仿宋_GB2312" w:hAnsi="Calibri" w:eastAsia="仿宋_GB2312" w:cs="宋体"/>
          <w:kern w:val="2"/>
          <w:sz w:val="32"/>
          <w:szCs w:val="32"/>
        </w:rPr>
        <w:t>规范和加强山东省省级政府投资基金管理，促进省级政府投资基金高质量发展，根据《国务院办公厅关于促进政府投资基金高质量发展的指导意见》（国办发〔2025〕1号）、</w:t>
      </w:r>
      <w:r>
        <w:rPr>
          <w:rFonts w:hint="eastAsia" w:ascii="仿宋_GB2312" w:hAnsi="Calibri" w:eastAsia="仿宋_GB2312" w:cs="宋体"/>
          <w:kern w:val="2"/>
          <w:sz w:val="32"/>
          <w:szCs w:val="32"/>
          <w:lang w:eastAsia="zh-CN"/>
        </w:rPr>
        <w:t>《国务院办公厅关于加强监管防范风险促进私募投资基金高质量发展的指导意见》（</w:t>
      </w:r>
      <w:r>
        <w:rPr>
          <w:rFonts w:hint="eastAsia" w:ascii="仿宋_GB2312" w:hAnsi="Calibri" w:eastAsia="仿宋_GB2312" w:cs="宋体"/>
          <w:i w:val="0"/>
          <w:iCs w:val="0"/>
          <w:caps w:val="0"/>
          <w:spacing w:val="0"/>
          <w:kern w:val="2"/>
          <w:sz w:val="32"/>
          <w:szCs w:val="32"/>
          <w:shd w:val="clear"/>
        </w:rPr>
        <w:t>国办函〔2026〕54号</w:t>
      </w:r>
      <w:r>
        <w:rPr>
          <w:rFonts w:hint="eastAsia" w:ascii="仿宋_GB2312" w:hAnsi="Calibri" w:eastAsia="仿宋_GB2312" w:cs="宋体"/>
          <w:kern w:val="2"/>
          <w:sz w:val="32"/>
          <w:szCs w:val="32"/>
          <w:lang w:eastAsia="zh-CN"/>
        </w:rPr>
        <w:t>）、</w:t>
      </w:r>
      <w:r>
        <w:rPr>
          <w:rFonts w:hint="eastAsia" w:ascii="仿宋_GB2312" w:hAnsi="Calibri" w:eastAsia="仿宋_GB2312" w:cs="宋体"/>
          <w:kern w:val="2"/>
          <w:sz w:val="32"/>
          <w:szCs w:val="32"/>
        </w:rPr>
        <w:t>《山东省人民政府办公厅关于促进政府投资基金高质量发展的实施意见》（鲁政办发〔2025〕11号）等相关规定，结合我省实际，制定本办法。</w:t>
      </w:r>
    </w:p>
    <w:p w14:paraId="74697A2D">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 xml:space="preserve">第二条 </w:t>
      </w:r>
      <w:r>
        <w:rPr>
          <w:rFonts w:hint="eastAsia" w:ascii="仿宋_GB2312" w:eastAsia="仿宋_GB2312"/>
          <w:sz w:val="32"/>
          <w:szCs w:val="32"/>
        </w:rPr>
        <w:t>本办法所称省级政府投资基金，是指省政府通过预算安排，单独出资或与社会资本共同出资设立，采用股权投资等市场化方式，引导各类社会资本支持相关产业和领域发展及创新创业的投资基金。</w:t>
      </w:r>
    </w:p>
    <w:p w14:paraId="7FD2127E">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第三条</w:t>
      </w:r>
      <w:r>
        <w:rPr>
          <w:rFonts w:hint="eastAsia" w:ascii="仿宋_GB2312" w:eastAsia="仿宋_GB2312"/>
          <w:sz w:val="32"/>
          <w:szCs w:val="32"/>
        </w:rPr>
        <w:t xml:space="preserve"> 政府出资通过</w:t>
      </w:r>
      <w:r>
        <w:rPr>
          <w:rFonts w:hint="eastAsia" w:ascii="仿宋_GB2312" w:eastAsia="仿宋_GB2312"/>
          <w:sz w:val="32"/>
          <w:szCs w:val="32"/>
          <w:lang w:eastAsia="zh-CN"/>
        </w:rPr>
        <w:t>财政</w:t>
      </w:r>
      <w:r>
        <w:rPr>
          <w:rFonts w:hint="eastAsia" w:ascii="仿宋_GB2312" w:eastAsia="仿宋_GB2312"/>
          <w:sz w:val="32"/>
          <w:szCs w:val="32"/>
        </w:rPr>
        <w:t>预算安排，采取直接出资、安排资金并委托国有企业出资、注资国有企业方式设立政府投资基金并明确相关资金专项用于对基金出资等方式。</w:t>
      </w:r>
    </w:p>
    <w:p w14:paraId="570661E1">
      <w:pPr>
        <w:widowControl w:val="0"/>
        <w:numPr>
          <w:ilvl w:val="255"/>
          <w:numId w:val="0"/>
        </w:numPr>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第四条</w:t>
      </w:r>
      <w:r>
        <w:rPr>
          <w:rFonts w:hint="eastAsia" w:ascii="仿宋_GB2312" w:eastAsia="仿宋_GB2312"/>
          <w:sz w:val="32"/>
          <w:szCs w:val="32"/>
        </w:rPr>
        <w:t xml:space="preserve"> 省级</w:t>
      </w:r>
      <w:r>
        <w:rPr>
          <w:rFonts w:hint="eastAsia" w:ascii="仿宋_GB2312" w:hAnsi="仿宋_GB2312" w:eastAsia="仿宋_GB2312" w:cs="仿宋_GB2312"/>
          <w:sz w:val="32"/>
          <w:szCs w:val="32"/>
        </w:rPr>
        <w:t>政府投资基金应深入贯彻落实国家决策部署和省委、省政府工作要求,以服务实体经济为根本,以促进科技创新、培育壮大耐心资本为引领，围绕重大战略实施、重点领域发展和市场不能充分发挥作用的薄弱环节,引导带动更多社会资本,促进产业转型升级,培育发展新质生产力,加快建设现代化产业体系，实现政策目标和经济效益的有机统一。</w:t>
      </w:r>
    </w:p>
    <w:p w14:paraId="289ABE7A">
      <w:pPr>
        <w:widowControl w:val="0"/>
        <w:numPr>
          <w:ilvl w:val="255"/>
          <w:numId w:val="0"/>
        </w:num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 xml:space="preserve">第五条 </w:t>
      </w:r>
      <w:r>
        <w:rPr>
          <w:rFonts w:hint="eastAsia" w:ascii="仿宋_GB2312" w:eastAsia="仿宋_GB2312"/>
          <w:sz w:val="32"/>
          <w:szCs w:val="32"/>
        </w:rPr>
        <w:t>省级政府投资基金应突出政府引导和政策性功能定位，按照市场化、法治化、专业化原则</w:t>
      </w:r>
      <w:r>
        <w:rPr>
          <w:rFonts w:hint="eastAsia" w:ascii="仿宋_GB2312" w:eastAsia="仿宋_GB2312" w:cstheme="minorBidi"/>
          <w:sz w:val="32"/>
          <w:szCs w:val="32"/>
        </w:rPr>
        <w:t>独立规范</w:t>
      </w:r>
      <w:r>
        <w:rPr>
          <w:rFonts w:hint="eastAsia" w:ascii="仿宋_GB2312" w:eastAsia="仿宋_GB2312" w:hAnsiTheme="minorHAnsi" w:cstheme="minorBidi"/>
          <w:sz w:val="32"/>
          <w:szCs w:val="32"/>
        </w:rPr>
        <w:t>运作</w:t>
      </w:r>
      <w:r>
        <w:rPr>
          <w:rFonts w:hint="eastAsia" w:ascii="仿宋_GB2312" w:eastAsia="仿宋_GB2312"/>
          <w:sz w:val="32"/>
          <w:szCs w:val="32"/>
        </w:rPr>
        <w:t>。政府相关部门不参与基金日常事务管理，不参与基金投资决策，不指定具体投资项目。</w:t>
      </w:r>
    </w:p>
    <w:p w14:paraId="5F275C43">
      <w:pPr>
        <w:widowControl w:val="0"/>
        <w:spacing w:line="600" w:lineRule="exact"/>
        <w:ind w:firstLine="640" w:firstLineChars="200"/>
        <w:rPr>
          <w:rFonts w:ascii="仿宋_GB2312" w:hAnsi="Times New Roman" w:eastAsia="仿宋_GB2312"/>
          <w:sz w:val="32"/>
          <w:szCs w:val="32"/>
        </w:rPr>
      </w:pPr>
      <w:r>
        <w:rPr>
          <w:rFonts w:hint="eastAsia" w:ascii="楷体_GB2312" w:hAnsi="楷体_GB2312" w:eastAsia="楷体_GB2312" w:cs="楷体_GB2312"/>
          <w:sz w:val="32"/>
          <w:szCs w:val="32"/>
        </w:rPr>
        <w:t>第六条</w:t>
      </w:r>
      <w:r>
        <w:rPr>
          <w:rFonts w:hint="eastAsia" w:ascii="仿宋_GB2312" w:eastAsia="仿宋_GB2312"/>
          <w:sz w:val="32"/>
          <w:szCs w:val="32"/>
        </w:rPr>
        <w:t xml:space="preserve"> 省级政府投资基金分为产业投资类基金和创业投资类基金，重点支持以下方向和领域:</w:t>
      </w:r>
    </w:p>
    <w:p w14:paraId="326FDA11">
      <w:pPr>
        <w:widowControl w:val="0"/>
        <w:numPr>
          <w:ilvl w:val="255"/>
          <w:numId w:val="0"/>
        </w:numPr>
        <w:spacing w:line="60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一）产业投资类基金。重点围绕黄河流域生态保护和高质量发展、绿色低碳高质量发展先行区建设等重大战略，完善现代化产业体系，支持改造提升传统产业、培育壮大新兴产业、布局建设未来产业，重点投资产业链关键环节和延链补链强链项目；</w:t>
      </w:r>
    </w:p>
    <w:p w14:paraId="1ADB4309">
      <w:pPr>
        <w:widowControl w:val="0"/>
        <w:numPr>
          <w:ilvl w:val="255"/>
          <w:numId w:val="0"/>
        </w:num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创业投资类基金。重点聚焦“十大创新”和新质生产力培育发展，围绕科教强鲁人才兴鲁战略、创新驱动发展战略，坚持投早、投小、投长期、投硬科技，加大对种子期、初创期的科技型、创新型项目和科技人才创新创业项目的支持力度。</w:t>
      </w:r>
    </w:p>
    <w:p w14:paraId="1566C666">
      <w:pPr>
        <w:widowControl w:val="0"/>
        <w:spacing w:line="600" w:lineRule="exact"/>
        <w:rPr>
          <w:rFonts w:ascii="仿宋_GB2312" w:eastAsia="仿宋_GB2312"/>
          <w:b/>
          <w:sz w:val="32"/>
          <w:szCs w:val="32"/>
        </w:rPr>
      </w:pPr>
    </w:p>
    <w:p w14:paraId="0A02C7AF">
      <w:pPr>
        <w:widowControl w:val="0"/>
        <w:spacing w:line="600" w:lineRule="exact"/>
        <w:jc w:val="center"/>
        <w:rPr>
          <w:rFonts w:ascii="黑体" w:hAnsi="黑体" w:eastAsia="黑体" w:cs="黑体"/>
          <w:bCs/>
          <w:sz w:val="32"/>
          <w:szCs w:val="32"/>
        </w:rPr>
      </w:pPr>
      <w:r>
        <w:rPr>
          <w:rFonts w:hint="eastAsia" w:ascii="黑体" w:hAnsi="黑体" w:eastAsia="黑体" w:cs="黑体"/>
          <w:bCs/>
          <w:sz w:val="32"/>
          <w:szCs w:val="32"/>
        </w:rPr>
        <w:t>第二章　职责分工</w:t>
      </w:r>
    </w:p>
    <w:p w14:paraId="7156E05D">
      <w:pPr>
        <w:widowControl w:val="0"/>
        <w:spacing w:line="600" w:lineRule="exact"/>
        <w:ind w:firstLine="640" w:firstLineChars="200"/>
        <w:rPr>
          <w:rFonts w:ascii="仿宋_GB2312" w:eastAsia="仿宋_GB2312"/>
          <w:sz w:val="32"/>
          <w:szCs w:val="32"/>
        </w:rPr>
      </w:pPr>
    </w:p>
    <w:p w14:paraId="32307797">
      <w:pPr>
        <w:widowControl w:val="0"/>
        <w:numPr>
          <w:ilvl w:val="255"/>
          <w:numId w:val="0"/>
        </w:numPr>
        <w:tabs>
          <w:tab w:val="left" w:pos="0"/>
        </w:tabs>
        <w:spacing w:line="600" w:lineRule="exact"/>
        <w:ind w:firstLine="640" w:firstLineChars="200"/>
        <w:rPr>
          <w:rFonts w:ascii="仿宋_GB2312" w:hAnsi="Times New Roman" w:eastAsia="仿宋_GB2312"/>
          <w:sz w:val="32"/>
          <w:szCs w:val="32"/>
        </w:rPr>
      </w:pPr>
      <w:r>
        <w:rPr>
          <w:rFonts w:hint="eastAsia" w:ascii="楷体_GB2312" w:hAnsi="楷体_GB2312" w:eastAsia="楷体_GB2312" w:cs="楷体_GB2312"/>
          <w:sz w:val="32"/>
          <w:szCs w:val="32"/>
        </w:rPr>
        <w:t>第七条</w:t>
      </w:r>
      <w:r>
        <w:rPr>
          <w:rFonts w:hint="eastAsia" w:ascii="仿宋_GB2312" w:eastAsia="仿宋_GB2312"/>
          <w:sz w:val="32"/>
          <w:szCs w:val="32"/>
        </w:rPr>
        <w:t xml:space="preserve"> 省财政厅</w:t>
      </w:r>
      <w:bookmarkStart w:id="0" w:name="_GoBack"/>
      <w:r>
        <w:rPr>
          <w:rFonts w:hint="eastAsia" w:ascii="仿宋_GB2312" w:eastAsia="仿宋_GB2312"/>
          <w:sz w:val="32"/>
          <w:szCs w:val="32"/>
          <w:highlight w:val="none"/>
        </w:rPr>
        <w:t>负责省级政府投资基金统筹管理，</w:t>
      </w:r>
      <w:bookmarkEnd w:id="0"/>
      <w:r>
        <w:rPr>
          <w:rFonts w:hint="eastAsia" w:ascii="仿宋_GB2312" w:eastAsia="仿宋_GB2312"/>
          <w:sz w:val="32"/>
          <w:szCs w:val="32"/>
        </w:rPr>
        <w:t>履行政府出资人职责，主要职责包括：</w:t>
      </w:r>
    </w:p>
    <w:p w14:paraId="75210250">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 xml:space="preserve">（一）制定省级政府投资基金管理办法以及绩效管理等相关制度; </w:t>
      </w:r>
    </w:p>
    <w:p w14:paraId="3767E0F9">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（二）研究设立省级政府投资基金，报省政府审批；</w:t>
      </w:r>
    </w:p>
    <w:p w14:paraId="11B151D9">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（三）管理省级政府投资基金预算，根据基金出资需求安排预算、拨付资金；</w:t>
      </w:r>
    </w:p>
    <w:p w14:paraId="1E6E2432">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（四）对省级政府投资基金开展绩效管理、产权登记、信息统计、财会监督等工作；</w:t>
      </w:r>
    </w:p>
    <w:p w14:paraId="687CF411">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（五）会同有关部门、单位研究解决省级政府投资基金运作管理相关问题。</w:t>
      </w:r>
    </w:p>
    <w:p w14:paraId="06760FB1">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第八条</w:t>
      </w:r>
      <w:r>
        <w:rPr>
          <w:rFonts w:hint="eastAsia" w:ascii="仿宋_GB2312" w:eastAsia="仿宋_GB2312"/>
          <w:sz w:val="32"/>
          <w:szCs w:val="32"/>
        </w:rPr>
        <w:t xml:space="preserve"> 有关部门、单位主要职责如下：</w:t>
      </w:r>
    </w:p>
    <w:p w14:paraId="164146AF">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（一）省发展改革委负责省级政府投资基金信用建设和信用信息登记</w:t>
      </w:r>
      <w:r>
        <w:rPr>
          <w:rFonts w:hint="eastAsia" w:ascii="仿宋_GB2312" w:eastAsia="仿宋_GB2312"/>
          <w:sz w:val="32"/>
          <w:szCs w:val="32"/>
          <w:lang w:eastAsia="zh-CN"/>
        </w:rPr>
        <w:t>工作</w:t>
      </w:r>
      <w:r>
        <w:rPr>
          <w:rFonts w:hint="eastAsia" w:ascii="仿宋_GB2312" w:eastAsia="仿宋_GB2312"/>
          <w:sz w:val="32"/>
          <w:szCs w:val="32"/>
        </w:rPr>
        <w:t>，会同行业主管部门做好基金布局规划和投向指导评价；</w:t>
      </w:r>
    </w:p>
    <w:p w14:paraId="7F01973E">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（二）山东证监局会同地方金融管理等部门负责</w:t>
      </w:r>
      <w:r>
        <w:rPr>
          <w:rFonts w:hint="eastAsia" w:ascii="仿宋_GB2312" w:hAnsi="仿宋_GB2312" w:eastAsia="仿宋_GB2312" w:cs="仿宋_GB2312"/>
          <w:spacing w:val="23"/>
          <w:sz w:val="32"/>
          <w:szCs w:val="32"/>
          <w:shd w:val="clear" w:color="auto" w:fill="FFFFFF"/>
        </w:rPr>
        <w:t>省级政府投资基金设立综合研判会商</w:t>
      </w:r>
      <w:r>
        <w:rPr>
          <w:rFonts w:hint="eastAsia" w:ascii="仿宋_GB2312" w:eastAsia="仿宋_GB2312"/>
          <w:sz w:val="32"/>
          <w:szCs w:val="32"/>
        </w:rPr>
        <w:t>和相关监管工作；</w:t>
      </w:r>
    </w:p>
    <w:p w14:paraId="4E6E78FF">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（三）省市场监管局负责指导省级政府投资基金管理机构经营主体的登记注册工作</w:t>
      </w:r>
      <w:r>
        <w:rPr>
          <w:rFonts w:ascii="仿宋_GB2312" w:eastAsia="仿宋_GB2312"/>
          <w:sz w:val="32"/>
          <w:szCs w:val="32"/>
        </w:rPr>
        <w:t>；</w:t>
      </w:r>
    </w:p>
    <w:p w14:paraId="461B48A7">
      <w:pPr>
        <w:widowControl w:val="0"/>
        <w:numPr>
          <w:ilvl w:val="0"/>
          <w:numId w:val="1"/>
        </w:numPr>
        <w:spacing w:line="600" w:lineRule="exact"/>
        <w:ind w:firstLine="640" w:firstLineChars="200"/>
        <w:rPr>
          <w:rFonts w:eastAsia="仿宋_GB2312" w:cs="仿宋_GB2312"/>
          <w:sz w:val="32"/>
          <w:szCs w:val="32"/>
        </w:rPr>
      </w:pPr>
      <w:r>
        <w:rPr>
          <w:rFonts w:hint="eastAsia" w:ascii="仿宋_GB2312" w:eastAsia="仿宋_GB2312"/>
          <w:sz w:val="32"/>
          <w:szCs w:val="32"/>
        </w:rPr>
        <w:t>省行业主管部门按照职责分工建立健全项目定期推介和项目库共享机制，归口对接国家级基金</w:t>
      </w:r>
      <w:r>
        <w:rPr>
          <w:rFonts w:eastAsia="仿宋_GB2312" w:cs="仿宋_GB2312"/>
          <w:sz w:val="32"/>
          <w:szCs w:val="32"/>
        </w:rPr>
        <w:t>。</w:t>
      </w:r>
    </w:p>
    <w:p w14:paraId="1EB29EAB">
      <w:pPr>
        <w:widowControl w:val="0"/>
        <w:numPr>
          <w:ilvl w:val="255"/>
          <w:numId w:val="0"/>
        </w:num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第九条</w:t>
      </w:r>
      <w:r>
        <w:rPr>
          <w:rFonts w:hint="eastAsia" w:ascii="仿宋_GB2312" w:hAnsi="仿宋_GB2312" w:eastAsia="仿宋_GB2312" w:cs="仿宋_GB2312"/>
          <w:sz w:val="32"/>
          <w:szCs w:val="32"/>
        </w:rPr>
        <w:t xml:space="preserve"> </w:t>
      </w:r>
      <w:r>
        <w:rPr>
          <w:rFonts w:hint="eastAsia" w:ascii="仿宋_GB2312" w:eastAsia="仿宋_GB2312" w:hAnsiTheme="minorHAnsi" w:cstheme="minorBidi"/>
          <w:sz w:val="32"/>
          <w:szCs w:val="32"/>
        </w:rPr>
        <w:t>省级</w:t>
      </w:r>
      <w:r>
        <w:rPr>
          <w:rFonts w:hint="eastAsia" w:ascii="仿宋_GB2312" w:eastAsia="仿宋_GB2312"/>
          <w:sz w:val="32"/>
          <w:szCs w:val="32"/>
        </w:rPr>
        <w:t>政府投资基金管理机构独立开展市场化运作、专业化管理，自主建立投资决策、风险防控和信息披露等机制，主要职责包括：</w:t>
      </w:r>
    </w:p>
    <w:p w14:paraId="260A1884">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（一）负责省级政府投资基金组建和整合优化等</w:t>
      </w:r>
      <w:r>
        <w:rPr>
          <w:rFonts w:ascii="仿宋_GB2312" w:eastAsia="仿宋_GB2312"/>
          <w:sz w:val="32"/>
          <w:szCs w:val="32"/>
        </w:rPr>
        <w:t>具体</w:t>
      </w:r>
      <w:r>
        <w:rPr>
          <w:rFonts w:hint="eastAsia" w:ascii="仿宋_GB2312" w:eastAsia="仿宋_GB2312"/>
          <w:sz w:val="32"/>
          <w:szCs w:val="32"/>
        </w:rPr>
        <w:t>工作；</w:t>
      </w:r>
    </w:p>
    <w:p w14:paraId="3EFEB795">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（二）健全省级政府投资基金合作机构遴选、参股相关基金（以下简称</w:t>
      </w:r>
      <w:r>
        <w:rPr>
          <w:rFonts w:hint="eastAsia" w:ascii="仿宋_GB2312" w:eastAsia="仿宋_GB2312"/>
          <w:sz w:val="32"/>
          <w:szCs w:val="32"/>
          <w:lang w:eastAsia="zh-CN"/>
        </w:rPr>
        <w:t>参股基金</w:t>
      </w:r>
      <w:r>
        <w:rPr>
          <w:rFonts w:hint="eastAsia" w:ascii="仿宋_GB2312" w:eastAsia="仿宋_GB2312"/>
          <w:sz w:val="32"/>
          <w:szCs w:val="32"/>
        </w:rPr>
        <w:t>）、投资决策、风险防控等相关管理制度；</w:t>
      </w:r>
    </w:p>
    <w:p w14:paraId="1626FFDF">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（三）代表省级政府投资基金对</w:t>
      </w:r>
      <w:r>
        <w:rPr>
          <w:rFonts w:hint="eastAsia" w:ascii="仿宋_GB2312" w:eastAsia="仿宋_GB2312"/>
          <w:sz w:val="32"/>
          <w:szCs w:val="32"/>
          <w:lang w:eastAsia="zh-CN"/>
        </w:rPr>
        <w:t>参股基金</w:t>
      </w:r>
      <w:r>
        <w:rPr>
          <w:rFonts w:hint="eastAsia" w:ascii="仿宋_GB2312" w:eastAsia="仿宋_GB2312"/>
          <w:sz w:val="32"/>
          <w:szCs w:val="32"/>
        </w:rPr>
        <w:t>行使出资人权利、承担义务,通过委派代表、</w:t>
      </w:r>
      <w:r>
        <w:rPr>
          <w:rFonts w:hint="eastAsia" w:ascii="仿宋_GB2312" w:eastAsia="仿宋_GB2312"/>
          <w:sz w:val="32"/>
          <w:szCs w:val="32"/>
          <w:lang w:eastAsia="zh-CN"/>
        </w:rPr>
        <w:t>章程</w:t>
      </w:r>
      <w:r>
        <w:rPr>
          <w:rFonts w:hint="eastAsia" w:ascii="仿宋_GB2312" w:eastAsia="仿宋_GB2312"/>
          <w:sz w:val="32"/>
          <w:szCs w:val="32"/>
        </w:rPr>
        <w:t>（</w:t>
      </w:r>
      <w:r>
        <w:rPr>
          <w:rFonts w:hint="eastAsia" w:ascii="仿宋_GB2312" w:eastAsia="仿宋_GB2312"/>
          <w:sz w:val="32"/>
          <w:szCs w:val="32"/>
          <w:lang w:eastAsia="zh-CN"/>
        </w:rPr>
        <w:t>合伙</w:t>
      </w:r>
      <w:r>
        <w:rPr>
          <w:rFonts w:hint="eastAsia" w:ascii="仿宋_GB2312" w:eastAsia="仿宋_GB2312"/>
          <w:sz w:val="32"/>
          <w:szCs w:val="32"/>
        </w:rPr>
        <w:t>协议）约定等方式保障基金规范运营;</w:t>
      </w:r>
    </w:p>
    <w:p w14:paraId="5BE61DE8">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（四）负责</w:t>
      </w:r>
      <w:r>
        <w:rPr>
          <w:rFonts w:ascii="仿宋_GB2312" w:eastAsia="仿宋_GB2312"/>
          <w:sz w:val="32"/>
          <w:szCs w:val="32"/>
        </w:rPr>
        <w:t>对</w:t>
      </w:r>
      <w:r>
        <w:rPr>
          <w:rFonts w:hint="eastAsia" w:ascii="仿宋_GB2312" w:eastAsia="仿宋_GB2312"/>
          <w:sz w:val="32"/>
          <w:szCs w:val="32"/>
          <w:lang w:eastAsia="zh-CN"/>
        </w:rPr>
        <w:t>参股基金</w:t>
      </w:r>
      <w:r>
        <w:rPr>
          <w:rFonts w:hint="eastAsia" w:ascii="仿宋_GB2312" w:eastAsia="仿宋_GB2312"/>
          <w:sz w:val="32"/>
          <w:szCs w:val="32"/>
        </w:rPr>
        <w:t>和直投项目</w:t>
      </w:r>
      <w:r>
        <w:rPr>
          <w:rFonts w:ascii="仿宋_GB2312" w:eastAsia="仿宋_GB2312"/>
          <w:sz w:val="32"/>
          <w:szCs w:val="32"/>
        </w:rPr>
        <w:t>的尽职调</w:t>
      </w:r>
      <w:r>
        <w:rPr>
          <w:rFonts w:hint="eastAsia" w:ascii="仿宋_GB2312" w:eastAsia="仿宋_GB2312" w:hAnsiTheme="minorHAnsi" w:cstheme="minorBidi"/>
          <w:sz w:val="32"/>
          <w:szCs w:val="32"/>
        </w:rPr>
        <w:t>查</w:t>
      </w:r>
      <w:r>
        <w:rPr>
          <w:rFonts w:hint="eastAsia" w:ascii="仿宋_GB2312" w:eastAsia="仿宋_GB2312"/>
          <w:sz w:val="32"/>
          <w:szCs w:val="32"/>
        </w:rPr>
        <w:t>、投资</w:t>
      </w:r>
      <w:r>
        <w:rPr>
          <w:rFonts w:ascii="仿宋_GB2312" w:eastAsia="仿宋_GB2312"/>
          <w:sz w:val="32"/>
          <w:szCs w:val="32"/>
        </w:rPr>
        <w:t>决策</w:t>
      </w:r>
      <w:r>
        <w:rPr>
          <w:rFonts w:hint="eastAsia" w:ascii="仿宋_GB2312" w:eastAsia="仿宋_GB2312"/>
          <w:sz w:val="32"/>
          <w:szCs w:val="32"/>
        </w:rPr>
        <w:t>、</w:t>
      </w:r>
      <w:r>
        <w:rPr>
          <w:rFonts w:hint="eastAsia" w:ascii="仿宋_GB2312" w:eastAsia="仿宋_GB2312" w:hAnsiTheme="minorHAnsi" w:cstheme="minorBidi"/>
          <w:sz w:val="32"/>
          <w:szCs w:val="32"/>
          <w:lang w:eastAsia="ja-JP"/>
        </w:rPr>
        <w:t>投后</w:t>
      </w:r>
      <w:r>
        <w:rPr>
          <w:rFonts w:hint="eastAsia" w:ascii="仿宋_GB2312" w:eastAsia="仿宋_GB2312"/>
          <w:sz w:val="32"/>
          <w:szCs w:val="32"/>
        </w:rPr>
        <w:t>监管、</w:t>
      </w:r>
      <w:r>
        <w:rPr>
          <w:rFonts w:ascii="仿宋_GB2312" w:eastAsia="仿宋_GB2312"/>
          <w:sz w:val="32"/>
          <w:szCs w:val="32"/>
        </w:rPr>
        <w:t>绩效</w:t>
      </w:r>
      <w:r>
        <w:rPr>
          <w:rFonts w:hint="eastAsia" w:ascii="仿宋_GB2312" w:eastAsia="仿宋_GB2312"/>
          <w:sz w:val="32"/>
          <w:szCs w:val="32"/>
        </w:rPr>
        <w:t>评价、退出等工作;</w:t>
      </w:r>
    </w:p>
    <w:p w14:paraId="79011462">
      <w:pPr>
        <w:widowControl w:val="0"/>
        <w:spacing w:line="600" w:lineRule="exact"/>
        <w:ind w:firstLine="640" w:firstLineChars="200"/>
        <w:rPr>
          <w:rFonts w:ascii="仿宋_GB2312" w:eastAsia="仿宋_GB2312" w:hAnsiTheme="minorHAnsi" w:cstheme="minorBidi"/>
          <w:sz w:val="32"/>
          <w:szCs w:val="32"/>
        </w:rPr>
      </w:pPr>
      <w:r>
        <w:rPr>
          <w:rFonts w:hint="eastAsia" w:ascii="仿宋_GB2312" w:eastAsia="仿宋_GB2312"/>
          <w:sz w:val="32"/>
          <w:szCs w:val="32"/>
        </w:rPr>
        <w:t>（五）</w:t>
      </w:r>
      <w:r>
        <w:rPr>
          <w:rFonts w:hint="eastAsia" w:ascii="仿宋_GB2312" w:eastAsia="仿宋_GB2312" w:hAnsiTheme="minorHAnsi" w:cstheme="minorBidi"/>
          <w:sz w:val="32"/>
          <w:szCs w:val="32"/>
        </w:rPr>
        <w:t>建设管理省级政府投资基金信息化管理系统和项目库，做好信息统计和综合分析，提供基金与项目对接服务；</w:t>
      </w:r>
    </w:p>
    <w:p w14:paraId="083E2F28">
      <w:pPr>
        <w:widowControl w:val="0"/>
        <w:spacing w:line="600" w:lineRule="exact"/>
        <w:ind w:firstLine="640" w:firstLineChars="200"/>
        <w:rPr>
          <w:rFonts w:ascii="仿宋_GB2312" w:eastAsia="仿宋_GB2312"/>
          <w:sz w:val="32"/>
          <w:szCs w:val="32"/>
        </w:rPr>
      </w:pPr>
      <w:r>
        <w:rPr>
          <w:rFonts w:hint="eastAsia" w:ascii="仿宋_GB2312" w:eastAsia="仿宋_GB2312" w:hAnsiTheme="minorHAnsi" w:cstheme="minorBidi"/>
          <w:sz w:val="32"/>
          <w:szCs w:val="32"/>
        </w:rPr>
        <w:t>（六）</w:t>
      </w:r>
      <w:r>
        <w:rPr>
          <w:rFonts w:hint="eastAsia" w:ascii="仿宋_GB2312" w:eastAsia="仿宋_GB2312"/>
          <w:sz w:val="32"/>
          <w:szCs w:val="32"/>
        </w:rPr>
        <w:t>及时向出资人报送省级政府投资基金年度投资计划、财务报告信息，定期向出资人、行业主管部门报送运作管理、重大事项等情况。</w:t>
      </w:r>
    </w:p>
    <w:p w14:paraId="3E9A94A4">
      <w:pPr>
        <w:widowControl w:val="0"/>
        <w:spacing w:line="600" w:lineRule="exact"/>
        <w:ind w:firstLine="640" w:firstLineChars="200"/>
        <w:rPr>
          <w:rFonts w:ascii="仿宋_GB2312" w:eastAsia="仿宋_GB2312"/>
          <w:sz w:val="32"/>
          <w:szCs w:val="32"/>
        </w:rPr>
      </w:pPr>
    </w:p>
    <w:p w14:paraId="6ED1D389">
      <w:pPr>
        <w:widowControl w:val="0"/>
        <w:spacing w:line="600" w:lineRule="exact"/>
        <w:jc w:val="center"/>
        <w:rPr>
          <w:rFonts w:ascii="黑体" w:hAnsi="黑体" w:eastAsia="黑体" w:cs="黑体"/>
          <w:bCs/>
          <w:sz w:val="32"/>
          <w:szCs w:val="32"/>
        </w:rPr>
      </w:pPr>
      <w:r>
        <w:rPr>
          <w:rFonts w:hint="eastAsia" w:ascii="黑体" w:hAnsi="黑体" w:eastAsia="黑体" w:cs="黑体"/>
          <w:bCs/>
          <w:sz w:val="32"/>
          <w:szCs w:val="32"/>
        </w:rPr>
        <w:t>第三章　基金设立与投资</w:t>
      </w:r>
    </w:p>
    <w:p w14:paraId="3E6623AE">
      <w:pPr>
        <w:widowControl w:val="0"/>
        <w:spacing w:line="600" w:lineRule="exact"/>
        <w:rPr>
          <w:rFonts w:ascii="仿宋_GB2312" w:eastAsia="仿宋_GB2312"/>
          <w:sz w:val="32"/>
          <w:szCs w:val="32"/>
        </w:rPr>
      </w:pPr>
    </w:p>
    <w:p w14:paraId="630ACB6D">
      <w:pPr>
        <w:widowControl w:val="0"/>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第十条</w:t>
      </w:r>
      <w:r>
        <w:rPr>
          <w:rFonts w:eastAsia="楷体_GB2312" w:cs="楷体_GB2312"/>
          <w:sz w:val="32"/>
          <w:szCs w:val="32"/>
        </w:rPr>
        <w:t xml:space="preserve"> </w:t>
      </w:r>
      <w:r>
        <w:rPr>
          <w:rFonts w:hint="eastAsia" w:ascii="仿宋_GB2312" w:hAnsi="仿宋_GB2312" w:eastAsia="仿宋_GB2312" w:cs="仿宋_GB2312"/>
          <w:sz w:val="32"/>
          <w:szCs w:val="32"/>
        </w:rPr>
        <w:t>设立省级政府投资基金应充分评估论证，结合财政承受能力和经济发展需要，制定设立方案，合理确定政府出资的规模、比例和时间安排。原则上不在同一行业或领域重复设立省级政府投资基金，避免资源分散和同质化竞争。</w:t>
      </w:r>
    </w:p>
    <w:p w14:paraId="71AD6F26">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设立方案应充分说明基金设立的必要性和可行性，明确政策目标、总体绩效目标、投向领域、募资规模、组织形式、存续期限、管理人选择、投资方式、收益分配原则、风险防控、绩效管理、退出要求等要素，履行投向领域政策符合性审查程序。</w:t>
      </w:r>
    </w:p>
    <w:p w14:paraId="57B7A7E9">
      <w:pPr>
        <w:widowControl w:val="0"/>
        <w:spacing w:line="600" w:lineRule="exact"/>
        <w:ind w:firstLine="640" w:firstLineChars="200"/>
        <w:rPr>
          <w:rFonts w:ascii="仿宋_GB2312" w:hAnsi="Times New Roman" w:eastAsia="仿宋_GB2312"/>
          <w:sz w:val="32"/>
          <w:szCs w:val="32"/>
        </w:rPr>
      </w:pPr>
      <w:r>
        <w:rPr>
          <w:rFonts w:hint="eastAsia" w:ascii="楷体_GB2312" w:hAnsi="楷体_GB2312" w:eastAsia="楷体_GB2312" w:cs="楷体_GB2312"/>
          <w:sz w:val="32"/>
          <w:szCs w:val="32"/>
        </w:rPr>
        <w:t xml:space="preserve">第十一条 </w:t>
      </w:r>
      <w:r>
        <w:rPr>
          <w:rFonts w:hint="eastAsia" w:ascii="仿宋_GB2312" w:hAnsi="Times New Roman" w:eastAsia="仿宋_GB2312" w:cstheme="minorBidi"/>
          <w:sz w:val="32"/>
          <w:szCs w:val="32"/>
        </w:rPr>
        <w:t>设立</w:t>
      </w:r>
      <w:r>
        <w:rPr>
          <w:rFonts w:hint="eastAsia" w:ascii="仿宋_GB2312" w:hAnsi="Times New Roman" w:eastAsia="仿宋_GB2312"/>
          <w:sz w:val="32"/>
          <w:szCs w:val="32"/>
        </w:rPr>
        <w:t>省级政府投资基金，由省财政厅报省政府审批。</w:t>
      </w:r>
      <w:r>
        <w:rPr>
          <w:rFonts w:hint="eastAsia" w:ascii="仿宋_GB2312" w:hAnsi="Times New Roman" w:eastAsia="仿宋_GB2312" w:cstheme="minorBidi"/>
          <w:sz w:val="32"/>
          <w:szCs w:val="32"/>
        </w:rPr>
        <w:t>未履行</w:t>
      </w:r>
      <w:r>
        <w:rPr>
          <w:rFonts w:hint="eastAsia" w:ascii="仿宋_GB2312" w:hAnsi="Times New Roman" w:eastAsia="仿宋_GB2312"/>
          <w:sz w:val="32"/>
          <w:szCs w:val="32"/>
        </w:rPr>
        <w:t>审批</w:t>
      </w:r>
      <w:r>
        <w:rPr>
          <w:rFonts w:hint="eastAsia" w:ascii="宋体" w:hAnsi="宋体" w:eastAsia="仿宋_GB2312"/>
          <w:color w:val="000000"/>
          <w:sz w:val="32"/>
          <w:szCs w:val="32"/>
        </w:rPr>
        <w:t>程序，各类政策文件原则上不得对设立省级政府投资基金提出要求。</w:t>
      </w:r>
    </w:p>
    <w:p w14:paraId="67065C7C">
      <w:pPr>
        <w:widowControl w:val="0"/>
        <w:numPr>
          <w:ilvl w:val="255"/>
          <w:numId w:val="0"/>
        </w:numPr>
        <w:spacing w:line="600" w:lineRule="exact"/>
        <w:ind w:firstLine="640" w:firstLineChars="200"/>
        <w:rPr>
          <w:rFonts w:ascii="仿宋_GB2312" w:hAnsi="仿宋_GB2312" w:eastAsia="仿宋_GB2312" w:cs="仿宋_GB2312"/>
          <w:sz w:val="32"/>
          <w:szCs w:val="32"/>
        </w:rPr>
      </w:pPr>
      <w:r>
        <w:rPr>
          <w:rFonts w:hint="eastAsia" w:ascii="仿宋_GB2312" w:hAnsi="Times New Roman" w:eastAsia="仿宋_GB2312"/>
          <w:sz w:val="32"/>
          <w:szCs w:val="32"/>
        </w:rPr>
        <w:t>除以上情形外，党政机关、事业单位不得以财政拨款或自有收入设立省级政府投资基金，已经设立的应按照省级政府投资基金管理要求统一规范管理，将基金设立、运行、管理、退出等情况报省财政厅备案，并在年度政府部门财务报告中反映对基金的出资情况。</w:t>
      </w:r>
    </w:p>
    <w:p w14:paraId="400AE974">
      <w:pPr>
        <w:widowControl w:val="0"/>
        <w:spacing w:line="600" w:lineRule="exact"/>
        <w:ind w:firstLine="640" w:firstLineChars="200"/>
        <w:rPr>
          <w:rFonts w:ascii="仿宋_GB2312" w:hAnsi="Times New Roman" w:eastAsia="仿宋_GB2312"/>
          <w:sz w:val="32"/>
          <w:szCs w:val="32"/>
        </w:rPr>
      </w:pPr>
      <w:r>
        <w:rPr>
          <w:rFonts w:hint="eastAsia" w:ascii="楷体_GB2312" w:hAnsi="楷体_GB2312" w:eastAsia="楷体_GB2312" w:cs="楷体_GB2312"/>
          <w:sz w:val="32"/>
          <w:szCs w:val="32"/>
        </w:rPr>
        <w:t xml:space="preserve">第十二条 </w:t>
      </w:r>
      <w:r>
        <w:rPr>
          <w:rFonts w:hint="eastAsia" w:ascii="仿宋_GB2312" w:hAnsi="仿宋_GB2312" w:eastAsia="仿宋_GB2312" w:cs="仿宋_GB2312"/>
          <w:sz w:val="32"/>
          <w:szCs w:val="32"/>
        </w:rPr>
        <w:t>省级政府投资基金应于批复一年内，按照有关要求完成基金</w:t>
      </w:r>
      <w:r>
        <w:rPr>
          <w:rFonts w:hint="eastAsia" w:ascii="仿宋_GB2312" w:hAnsi="仿宋_GB2312" w:eastAsia="仿宋_GB2312" w:cs="仿宋_GB2312"/>
          <w:sz w:val="32"/>
          <w:szCs w:val="32"/>
          <w:lang w:eastAsia="zh-CN"/>
        </w:rPr>
        <w:t>章程（合伙协议）</w:t>
      </w:r>
      <w:r>
        <w:rPr>
          <w:rFonts w:hint="eastAsia" w:ascii="仿宋_GB2312" w:hAnsi="仿宋_GB2312" w:eastAsia="仿宋_GB2312" w:cs="仿宋_GB2312"/>
          <w:sz w:val="32"/>
          <w:szCs w:val="32"/>
        </w:rPr>
        <w:t>起草和签订、基金设立、中国证券投资基金业协会登记备案等工作，严格按照设立方案确定的方向和领域投资。</w:t>
      </w:r>
    </w:p>
    <w:p w14:paraId="6D3CB625">
      <w:pPr>
        <w:widowControl w:val="0"/>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 xml:space="preserve">第十三条 </w:t>
      </w:r>
      <w:r>
        <w:rPr>
          <w:rFonts w:hint="eastAsia" w:ascii="仿宋_GB2312" w:eastAsia="仿宋_GB2312"/>
          <w:sz w:val="32"/>
          <w:szCs w:val="32"/>
        </w:rPr>
        <w:t>省级政府投资基金采用公司制或有限合伙的组织形式，可采取设立母子基金或直投项目方式进行投资。子基金原则上以直投项目方</w:t>
      </w:r>
      <w:r>
        <w:rPr>
          <w:rFonts w:hint="eastAsia" w:ascii="仿宋_GB2312" w:hAnsi="仿宋_GB2312" w:eastAsia="仿宋_GB2312" w:cs="仿宋_GB2312"/>
          <w:sz w:val="32"/>
          <w:szCs w:val="32"/>
        </w:rPr>
        <w:t>式进行投资。</w:t>
      </w:r>
    </w:p>
    <w:p w14:paraId="24BF92B8">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省级政府投资基金可加强与国家级、市级、县级政府投资基金协同联动，形成资金合力，共同推动产业转型升级和创新创业项目发展。</w:t>
      </w:r>
    </w:p>
    <w:p w14:paraId="6A37AB13">
      <w:pPr>
        <w:widowControl w:val="0"/>
        <w:tabs>
          <w:tab w:val="left" w:pos="0"/>
        </w:tabs>
        <w:spacing w:line="600" w:lineRule="exact"/>
        <w:ind w:firstLine="640" w:firstLineChars="200"/>
        <w:rPr>
          <w:rFonts w:ascii="仿宋_GB2312" w:hAnsi="仿宋_GB2312" w:eastAsia="仿宋_GB2312" w:cs="仿宋_GB2312"/>
          <w:kern w:val="0"/>
          <w:sz w:val="32"/>
          <w:szCs w:val="32"/>
        </w:rPr>
      </w:pPr>
      <w:r>
        <w:rPr>
          <w:rFonts w:hint="eastAsia" w:ascii="楷体_GB2312" w:hAnsi="楷体_GB2312" w:eastAsia="楷体_GB2312" w:cs="楷体_GB2312"/>
          <w:kern w:val="0"/>
          <w:sz w:val="32"/>
          <w:szCs w:val="32"/>
        </w:rPr>
        <w:t>第十四条</w:t>
      </w:r>
      <w:r>
        <w:rPr>
          <w:rFonts w:hint="eastAsia" w:ascii="仿宋_GB2312" w:hAnsi="仿宋_GB2312" w:eastAsia="仿宋_GB2312" w:cs="仿宋_GB2312"/>
          <w:kern w:val="0"/>
          <w:sz w:val="32"/>
          <w:szCs w:val="32"/>
        </w:rPr>
        <w:t xml:space="preserve"> 产业投资类基金存续期一般不超过</w:t>
      </w:r>
      <w:r>
        <w:rPr>
          <w:rFonts w:ascii="仿宋_GB2312" w:hAnsi="仿宋_GB2312" w:eastAsia="仿宋_GB2312" w:cs="仿宋_GB2312"/>
          <w:kern w:val="0"/>
          <w:sz w:val="32"/>
          <w:szCs w:val="32"/>
        </w:rPr>
        <w:t>15</w:t>
      </w:r>
      <w:r>
        <w:rPr>
          <w:rFonts w:hint="eastAsia" w:ascii="仿宋_GB2312" w:hAnsi="仿宋_GB2312" w:eastAsia="仿宋_GB2312" w:cs="仿宋_GB2312"/>
          <w:kern w:val="0"/>
          <w:sz w:val="32"/>
          <w:szCs w:val="32"/>
        </w:rPr>
        <w:t>年，创业投资类基金一般不超过</w:t>
      </w:r>
      <w:r>
        <w:rPr>
          <w:rFonts w:ascii="仿宋_GB2312" w:hAnsi="仿宋_GB2312" w:eastAsia="仿宋_GB2312" w:cs="仿宋_GB2312"/>
          <w:kern w:val="0"/>
          <w:sz w:val="32"/>
          <w:szCs w:val="32"/>
        </w:rPr>
        <w:t>20年</w:t>
      </w:r>
      <w:r>
        <w:rPr>
          <w:rFonts w:hint="eastAsia" w:ascii="仿宋_GB2312" w:hAnsi="仿宋_GB2312" w:eastAsia="仿宋_GB2312" w:cs="仿宋_GB2312"/>
          <w:kern w:val="0"/>
          <w:sz w:val="32"/>
          <w:szCs w:val="32"/>
        </w:rPr>
        <w:t>。确需延长存续期的，应充分评估论证并按设立基金的程序报批。</w:t>
      </w:r>
    </w:p>
    <w:p w14:paraId="16049F1C">
      <w:pPr>
        <w:widowControl w:val="0"/>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第十五条</w:t>
      </w:r>
      <w:r>
        <w:rPr>
          <w:rFonts w:hint="eastAsia" w:ascii="楷体_GB2312" w:hAnsi="楷体_GB2312" w:eastAsia="楷体_GB2312" w:cs="楷体_GB2312"/>
          <w:color w:val="333333"/>
          <w:sz w:val="32"/>
          <w:szCs w:val="32"/>
        </w:rPr>
        <w:t xml:space="preserve"> </w:t>
      </w:r>
      <w:r>
        <w:rPr>
          <w:rFonts w:hint="eastAsia" w:ascii="仿宋_GB2312" w:hAnsi="仿宋_GB2312" w:eastAsia="仿宋_GB2312" w:cs="仿宋_GB2312"/>
          <w:sz w:val="32"/>
          <w:szCs w:val="32"/>
        </w:rPr>
        <w:t>省级政府投资基金应按照公开透明原则,通过公开征集或定向邀请方式选择合作机构设立</w:t>
      </w:r>
      <w:r>
        <w:rPr>
          <w:rFonts w:hint="eastAsia" w:ascii="仿宋_GB2312" w:hAnsi="仿宋_GB2312" w:eastAsia="仿宋_GB2312" w:cs="仿宋_GB2312"/>
          <w:sz w:val="32"/>
          <w:szCs w:val="32"/>
          <w:lang w:eastAsia="zh-CN"/>
        </w:rPr>
        <w:t>参股基金</w:t>
      </w:r>
      <w:r>
        <w:rPr>
          <w:rFonts w:hint="eastAsia" w:ascii="仿宋_GB2312" w:hAnsi="仿宋_GB2312" w:eastAsia="仿宋_GB2312" w:cs="仿宋_GB2312"/>
          <w:sz w:val="32"/>
          <w:szCs w:val="32"/>
        </w:rPr>
        <w:t>，并及时向社会公示。</w:t>
      </w:r>
      <w:r>
        <w:rPr>
          <w:rFonts w:hint="eastAsia" w:ascii="仿宋_GB2312" w:hAnsi="仿宋_GB2312" w:eastAsia="仿宋_GB2312" w:cs="仿宋_GB2312"/>
          <w:sz w:val="32"/>
          <w:szCs w:val="32"/>
          <w:lang w:eastAsia="zh-CN"/>
        </w:rPr>
        <w:t>参股基金</w:t>
      </w:r>
      <w:r>
        <w:rPr>
          <w:rFonts w:hint="eastAsia" w:ascii="仿宋_GB2312" w:hAnsi="仿宋_GB2312" w:eastAsia="仿宋_GB2312" w:cs="仿宋_GB2312"/>
          <w:sz w:val="32"/>
          <w:szCs w:val="32"/>
        </w:rPr>
        <w:t>及其管理机构注册地原则上不受地域限制。</w:t>
      </w:r>
      <w:r>
        <w:rPr>
          <w:rFonts w:hint="eastAsia" w:ascii="仿宋_GB2312" w:hAnsi="仿宋_GB2312" w:eastAsia="仿宋_GB2312" w:cs="仿宋_GB2312"/>
          <w:sz w:val="32"/>
          <w:szCs w:val="32"/>
          <w:lang w:eastAsia="zh-CN"/>
        </w:rPr>
        <w:t>参股基金</w:t>
      </w:r>
      <w:r>
        <w:rPr>
          <w:rFonts w:hint="eastAsia" w:ascii="仿宋_GB2312" w:hAnsi="仿宋_GB2312" w:eastAsia="仿宋_GB2312" w:cs="仿宋_GB2312"/>
          <w:sz w:val="32"/>
          <w:szCs w:val="32"/>
        </w:rPr>
        <w:t>管理机构应具备以下条件：</w:t>
      </w:r>
    </w:p>
    <w:p w14:paraId="47DBEE8C">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（一）在中国大陆注册，实缴注册资本不低于</w:t>
      </w:r>
      <w:r>
        <w:rPr>
          <w:rFonts w:ascii="仿宋_GB2312" w:hAnsi="仿宋_GB2312" w:eastAsia="仿宋_GB2312" w:cs="仿宋_GB2312"/>
          <w:sz w:val="32"/>
          <w:szCs w:val="32"/>
        </w:rPr>
        <w:t>1000万元，具备较强</w:t>
      </w:r>
      <w:r>
        <w:rPr>
          <w:rFonts w:hint="eastAsia" w:ascii="仿宋_GB2312" w:hAnsi="仿宋_GB2312" w:eastAsia="仿宋_GB2312" w:cs="仿宋_GB2312"/>
          <w:sz w:val="32"/>
          <w:szCs w:val="32"/>
        </w:rPr>
        <w:t>市场化</w:t>
      </w:r>
      <w:r>
        <w:rPr>
          <w:rFonts w:ascii="仿宋_GB2312" w:hAnsi="仿宋_GB2312" w:eastAsia="仿宋_GB2312" w:cs="仿宋_GB2312"/>
          <w:sz w:val="32"/>
          <w:szCs w:val="32"/>
        </w:rPr>
        <w:t>募资能力</w:t>
      </w:r>
      <w:r>
        <w:rPr>
          <w:rFonts w:hint="eastAsia" w:ascii="仿宋_GB2312" w:hAnsi="仿宋_GB2312" w:eastAsia="仿宋_GB2312" w:cs="仿宋_GB2312"/>
          <w:sz w:val="32"/>
          <w:szCs w:val="32"/>
        </w:rPr>
        <w:t>，有固定的营业场所和与其业务相适应的设施；</w:t>
      </w:r>
    </w:p>
    <w:p w14:paraId="15F2F067">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（二）具备</w:t>
      </w:r>
      <w:r>
        <w:rPr>
          <w:rFonts w:hint="eastAsia" w:ascii="仿宋_GB2312" w:hAnsi="仿宋_GB2312" w:eastAsia="仿宋_GB2312" w:cs="仿宋_GB2312"/>
          <w:sz w:val="32"/>
          <w:szCs w:val="32"/>
          <w:lang w:eastAsia="zh-CN"/>
        </w:rPr>
        <w:t>参股基金</w:t>
      </w:r>
      <w:r>
        <w:rPr>
          <w:rFonts w:hint="eastAsia" w:ascii="仿宋_GB2312" w:hAnsi="仿宋_GB2312" w:eastAsia="仿宋_GB2312" w:cs="仿宋_GB2312"/>
          <w:sz w:val="32"/>
          <w:szCs w:val="32"/>
        </w:rPr>
        <w:t>主要投资方向的产业背景或相关领域成功投资案例，熟悉产业链关键环节，具备健全的投资管理和风险控制流程、规范的项目遴选机制和投资决策机制，能够为被投企业提供创业辅导、管理咨询等增值服务</w:t>
      </w:r>
      <w:r>
        <w:rPr>
          <w:rFonts w:ascii="仿宋_GB2312" w:hAnsi="仿宋_GB2312" w:eastAsia="仿宋_GB2312" w:cs="仿宋_GB2312"/>
          <w:sz w:val="32"/>
          <w:szCs w:val="32"/>
        </w:rPr>
        <w:t>；</w:t>
      </w:r>
    </w:p>
    <w:p w14:paraId="2814AED7">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（三）管理人或属于同一实控人的关联实体在</w:t>
      </w:r>
      <w:r>
        <w:rPr>
          <w:rFonts w:hint="eastAsia" w:ascii="仿宋_GB2312" w:hAnsi="仿宋_GB2312" w:eastAsia="仿宋_GB2312" w:cs="仿宋_GB2312"/>
          <w:sz w:val="32"/>
          <w:szCs w:val="32"/>
          <w:lang w:eastAsia="zh-CN"/>
        </w:rPr>
        <w:t>参股基金</w:t>
      </w:r>
      <w:r>
        <w:rPr>
          <w:rFonts w:hint="eastAsia" w:ascii="仿宋_GB2312" w:hAnsi="仿宋_GB2312" w:eastAsia="仿宋_GB2312" w:cs="仿宋_GB2312"/>
          <w:sz w:val="32"/>
          <w:szCs w:val="32"/>
        </w:rPr>
        <w:t>中出资原则上不低于基金规模的</w:t>
      </w:r>
      <w:r>
        <w:rPr>
          <w:rFonts w:ascii="仿宋_GB2312" w:hAnsi="仿宋_GB2312" w:eastAsia="仿宋_GB2312" w:cs="仿宋_GB2312"/>
          <w:sz w:val="32"/>
          <w:szCs w:val="32"/>
        </w:rPr>
        <w:t>1％；</w:t>
      </w:r>
    </w:p>
    <w:p w14:paraId="2201909E">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（四）已在中国证券投资基金业协会登记为私募股权、创业投资基金管理</w:t>
      </w:r>
      <w:r>
        <w:rPr>
          <w:rFonts w:hint="eastAsia" w:ascii="仿宋_GB2312" w:hAnsi="仿宋_GB2312" w:eastAsia="仿宋_GB2312" w:cs="仿宋_GB2312"/>
          <w:sz w:val="32"/>
          <w:szCs w:val="32"/>
          <w:lang w:eastAsia="zh-CN"/>
        </w:rPr>
        <w:t>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登记状态正常，</w:t>
      </w:r>
      <w:r>
        <w:rPr>
          <w:rFonts w:hint="eastAsia" w:ascii="仿宋_GB2312" w:hAnsi="仿宋_GB2312" w:eastAsia="仿宋_GB2312" w:cs="仿宋_GB2312"/>
          <w:sz w:val="32"/>
          <w:szCs w:val="32"/>
        </w:rPr>
        <w:t>符合中国证券投资基金业协会有关要求，具备与基金管理运作相适应的专业化水平、管理运作经验和投资经营业绩；</w:t>
      </w:r>
    </w:p>
    <w:p w14:paraId="6311CA6C">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（五）管理人及其</w:t>
      </w:r>
      <w:r>
        <w:rPr>
          <w:rFonts w:hint="eastAsia" w:ascii="仿宋_GB2312" w:hAnsi="仿宋_GB2312" w:eastAsia="仿宋_GB2312" w:cs="仿宋_GB2312"/>
          <w:sz w:val="32"/>
          <w:szCs w:val="32"/>
          <w:lang w:eastAsia="zh-CN"/>
        </w:rPr>
        <w:t>法定代表人、实际控制人、</w:t>
      </w:r>
      <w:r>
        <w:rPr>
          <w:rFonts w:hint="eastAsia" w:ascii="仿宋_GB2312" w:hAnsi="仿宋_GB2312" w:eastAsia="仿宋_GB2312" w:cs="仿宋_GB2312"/>
          <w:sz w:val="32"/>
          <w:szCs w:val="32"/>
        </w:rPr>
        <w:t>董事、监事、高级管理人员信誉良好，最近五年无行政主管机关或司法机关处罚的不良记录；</w:t>
      </w:r>
    </w:p>
    <w:p w14:paraId="0A7ADC89">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（六）法律法规及有关规定要求的其他条件。</w:t>
      </w:r>
    </w:p>
    <w:p w14:paraId="0D3F614D">
      <w:pPr>
        <w:widowControl w:val="0"/>
        <w:spacing w:line="600" w:lineRule="exact"/>
        <w:ind w:firstLine="640" w:firstLineChars="200"/>
        <w:rPr>
          <w:rFonts w:ascii="仿宋_GB2312" w:hAnsi="仿宋_GB2312" w:eastAsia="仿宋_GB2312" w:cs="仿宋_GB2312"/>
          <w:kern w:val="0"/>
          <w:sz w:val="32"/>
          <w:szCs w:val="32"/>
        </w:rPr>
      </w:pPr>
      <w:r>
        <w:rPr>
          <w:rFonts w:hint="eastAsia" w:ascii="楷体_GB2312" w:hAnsi="楷体_GB2312" w:eastAsia="楷体_GB2312" w:cs="楷体_GB2312"/>
          <w:color w:val="333333"/>
          <w:sz w:val="32"/>
          <w:szCs w:val="32"/>
        </w:rPr>
        <w:t xml:space="preserve">第十六条 </w:t>
      </w:r>
      <w:r>
        <w:rPr>
          <w:rFonts w:hint="eastAsia" w:ascii="仿宋_GB2312" w:hAnsi="仿宋_GB2312" w:eastAsia="仿宋_GB2312" w:cs="仿宋_GB2312"/>
          <w:kern w:val="0"/>
          <w:sz w:val="32"/>
          <w:szCs w:val="32"/>
        </w:rPr>
        <w:t>省级政府投资基金对</w:t>
      </w:r>
      <w:r>
        <w:rPr>
          <w:rFonts w:hint="eastAsia" w:ascii="仿宋_GB2312" w:hAnsi="仿宋_GB2312" w:eastAsia="仿宋_GB2312" w:cs="仿宋_GB2312"/>
          <w:kern w:val="0"/>
          <w:sz w:val="32"/>
          <w:szCs w:val="32"/>
          <w:lang w:eastAsia="zh-CN"/>
        </w:rPr>
        <w:t>参股基金</w:t>
      </w:r>
      <w:r>
        <w:rPr>
          <w:rFonts w:hint="eastAsia" w:ascii="仿宋_GB2312" w:hAnsi="仿宋_GB2312" w:eastAsia="仿宋_GB2312" w:cs="仿宋_GB2312"/>
          <w:kern w:val="0"/>
          <w:sz w:val="32"/>
          <w:szCs w:val="32"/>
        </w:rPr>
        <w:t>出资实行差异化安排，对产业投资类、创业投资类</w:t>
      </w:r>
      <w:r>
        <w:rPr>
          <w:rFonts w:hint="eastAsia" w:ascii="仿宋_GB2312" w:hAnsi="仿宋_GB2312" w:eastAsia="仿宋_GB2312" w:cs="仿宋_GB2312"/>
          <w:kern w:val="0"/>
          <w:sz w:val="32"/>
          <w:szCs w:val="32"/>
          <w:lang w:eastAsia="zh-CN"/>
        </w:rPr>
        <w:t>参股基金</w:t>
      </w:r>
      <w:r>
        <w:rPr>
          <w:rFonts w:hint="eastAsia" w:ascii="仿宋_GB2312" w:hAnsi="仿宋_GB2312" w:eastAsia="仿宋_GB2312" w:cs="仿宋_GB2312"/>
          <w:kern w:val="0"/>
          <w:sz w:val="32"/>
          <w:szCs w:val="32"/>
        </w:rPr>
        <w:t>的出资比例原则上分别不超过</w:t>
      </w:r>
      <w:r>
        <w:rPr>
          <w:rFonts w:hint="eastAsia" w:ascii="仿宋_GB2312" w:hAnsi="仿宋_GB2312" w:eastAsia="仿宋_GB2312" w:cs="仿宋_GB2312"/>
          <w:kern w:val="0"/>
          <w:sz w:val="32"/>
          <w:szCs w:val="32"/>
          <w:lang w:eastAsia="zh-CN"/>
        </w:rPr>
        <w:t>参股基金认缴规模的</w:t>
      </w:r>
      <w:r>
        <w:rPr>
          <w:rFonts w:hint="eastAsia" w:ascii="仿宋_GB2312" w:hAnsi="仿宋_GB2312" w:eastAsia="仿宋_GB2312" w:cs="仿宋_GB2312"/>
          <w:kern w:val="0"/>
          <w:sz w:val="32"/>
          <w:szCs w:val="32"/>
        </w:rPr>
        <w:t>30%、40%。</w:t>
      </w:r>
      <w:r>
        <w:rPr>
          <w:rFonts w:hint="eastAsia" w:ascii="仿宋_GB2312" w:eastAsia="仿宋_GB2312"/>
          <w:sz w:val="32"/>
          <w:szCs w:val="32"/>
        </w:rPr>
        <w:t>省级政府投资基金直投金额原则上不得超过基金规模的30%。产业投资类</w:t>
      </w:r>
      <w:r>
        <w:rPr>
          <w:rFonts w:hint="eastAsia" w:ascii="仿宋_GB2312" w:eastAsia="仿宋_GB2312"/>
          <w:sz w:val="32"/>
          <w:szCs w:val="32"/>
          <w:lang w:eastAsia="zh-CN"/>
        </w:rPr>
        <w:t>基金</w:t>
      </w:r>
      <w:r>
        <w:rPr>
          <w:rFonts w:hint="eastAsia" w:ascii="仿宋_GB2312" w:eastAsia="仿宋_GB2312"/>
          <w:sz w:val="32"/>
          <w:szCs w:val="32"/>
        </w:rPr>
        <w:t>应围绕主要投资方向开展投资，创业投资类</w:t>
      </w:r>
      <w:r>
        <w:rPr>
          <w:rFonts w:hint="eastAsia" w:ascii="仿宋_GB2312" w:eastAsia="仿宋_GB2312"/>
          <w:sz w:val="32"/>
          <w:szCs w:val="32"/>
          <w:lang w:eastAsia="zh-CN"/>
        </w:rPr>
        <w:t>基金应</w:t>
      </w:r>
      <w:r>
        <w:rPr>
          <w:rFonts w:hint="eastAsia" w:ascii="仿宋_GB2312" w:eastAsia="仿宋_GB2312"/>
          <w:sz w:val="32"/>
          <w:szCs w:val="32"/>
        </w:rPr>
        <w:t>重点围绕创投类项目开展投资。</w:t>
      </w:r>
    </w:p>
    <w:p w14:paraId="47003915">
      <w:pPr>
        <w:pStyle w:val="3"/>
        <w:widowControl w:val="0"/>
        <w:shd w:val="clear" w:color="auto" w:fill="FFFFFF"/>
        <w:spacing w:beforeAutospacing="0" w:afterAutospacing="0" w:line="600" w:lineRule="exact"/>
        <w:ind w:firstLine="640" w:firstLineChars="200"/>
        <w:jc w:val="both"/>
        <w:rPr>
          <w:rFonts w:ascii="仿宋_GB2312" w:hAnsi="仿宋_GB2312" w:eastAsia="仿宋_GB2312" w:cs="仿宋_GB2312"/>
          <w:b/>
          <w:bCs/>
          <w:sz w:val="32"/>
          <w:szCs w:val="32"/>
        </w:rPr>
      </w:pPr>
      <w:r>
        <w:rPr>
          <w:rFonts w:hint="eastAsia" w:ascii="楷体_GB2312" w:hAnsi="楷体_GB2312" w:eastAsia="楷体_GB2312" w:cs="楷体_GB2312"/>
          <w:color w:val="333333"/>
          <w:sz w:val="32"/>
          <w:szCs w:val="32"/>
        </w:rPr>
        <w:t>第十七条</w:t>
      </w:r>
      <w:r>
        <w:rPr>
          <w:rFonts w:hint="eastAsia" w:ascii="仿宋_GB2312" w:eastAsia="仿宋_GB2312"/>
          <w:sz w:val="32"/>
          <w:szCs w:val="32"/>
        </w:rPr>
        <w:t xml:space="preserve"> 对于产业投资类基金，不同省级政府投资基金对同一</w:t>
      </w:r>
      <w:r>
        <w:rPr>
          <w:rFonts w:hint="eastAsia" w:ascii="仿宋_GB2312" w:eastAsia="仿宋_GB2312"/>
          <w:sz w:val="32"/>
          <w:szCs w:val="32"/>
          <w:lang w:eastAsia="zh-CN"/>
        </w:rPr>
        <w:t>企业或</w:t>
      </w:r>
      <w:r>
        <w:rPr>
          <w:rFonts w:hint="eastAsia" w:ascii="仿宋_GB2312" w:eastAsia="仿宋_GB2312"/>
          <w:sz w:val="32"/>
          <w:szCs w:val="32"/>
        </w:rPr>
        <w:t>项目穿透后的累计投资额不得超过</w:t>
      </w:r>
      <w:r>
        <w:rPr>
          <w:rFonts w:hint="eastAsia" w:ascii="仿宋_GB2312" w:eastAsia="仿宋_GB2312"/>
          <w:sz w:val="32"/>
          <w:szCs w:val="32"/>
          <w:lang w:eastAsia="zh-CN"/>
        </w:rPr>
        <w:t>其</w:t>
      </w:r>
      <w:r>
        <w:rPr>
          <w:rFonts w:hint="eastAsia" w:ascii="仿宋_GB2312" w:eastAsia="仿宋_GB2312"/>
          <w:sz w:val="32"/>
          <w:szCs w:val="32"/>
        </w:rPr>
        <w:t>总股本的30%；对于创业投资类基金，不同省级政府投资基金对同一</w:t>
      </w:r>
      <w:r>
        <w:rPr>
          <w:rFonts w:hint="eastAsia" w:ascii="仿宋_GB2312" w:eastAsia="仿宋_GB2312"/>
          <w:sz w:val="32"/>
          <w:szCs w:val="32"/>
          <w:lang w:eastAsia="zh-CN"/>
        </w:rPr>
        <w:t>企业或</w:t>
      </w:r>
      <w:r>
        <w:rPr>
          <w:rFonts w:hint="eastAsia" w:ascii="仿宋_GB2312" w:eastAsia="仿宋_GB2312"/>
          <w:sz w:val="32"/>
          <w:szCs w:val="32"/>
        </w:rPr>
        <w:t>项目穿透后的累计投资额不得超过</w:t>
      </w:r>
      <w:r>
        <w:rPr>
          <w:rFonts w:hint="eastAsia" w:ascii="仿宋_GB2312" w:eastAsia="仿宋_GB2312"/>
          <w:sz w:val="32"/>
          <w:szCs w:val="32"/>
          <w:lang w:eastAsia="zh-CN"/>
        </w:rPr>
        <w:t>其</w:t>
      </w:r>
      <w:r>
        <w:rPr>
          <w:rFonts w:hint="eastAsia" w:ascii="仿宋_GB2312" w:eastAsia="仿宋_GB2312"/>
          <w:sz w:val="32"/>
          <w:szCs w:val="32"/>
        </w:rPr>
        <w:t>总股本的50%。</w:t>
      </w:r>
    </w:p>
    <w:p w14:paraId="369BE8C8">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第十八条</w:t>
      </w:r>
      <w:r>
        <w:rPr>
          <w:rFonts w:hint="eastAsia" w:ascii="楷体_GB2312" w:hAnsi="楷体_GB2312" w:eastAsia="楷体_GB2312" w:cs="楷体_GB2312"/>
          <w:color w:val="333333"/>
          <w:sz w:val="32"/>
          <w:szCs w:val="32"/>
        </w:rPr>
        <w:t xml:space="preserve"> </w:t>
      </w:r>
      <w:r>
        <w:rPr>
          <w:rFonts w:hint="eastAsia" w:ascii="仿宋_GB2312" w:eastAsia="仿宋_GB2312" w:hAnsiTheme="minorHAnsi" w:cstheme="minorBidi"/>
          <w:sz w:val="32"/>
          <w:szCs w:val="32"/>
          <w:lang w:eastAsia="zh-CN"/>
        </w:rPr>
        <w:t>参股基金</w:t>
      </w:r>
      <w:r>
        <w:rPr>
          <w:rFonts w:hint="eastAsia" w:ascii="仿宋_GB2312" w:eastAsia="仿宋_GB2312"/>
          <w:sz w:val="32"/>
          <w:szCs w:val="32"/>
        </w:rPr>
        <w:t>管理费一般应以实际投资金额或实缴出资额为计费基础，分阶段合理确定计提标准。</w:t>
      </w:r>
    </w:p>
    <w:p w14:paraId="3D819C34">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第十九条</w:t>
      </w:r>
      <w:r>
        <w:rPr>
          <w:rFonts w:hint="eastAsia" w:ascii="仿宋_GB2312" w:eastAsia="仿宋_GB2312"/>
          <w:sz w:val="32"/>
          <w:szCs w:val="32"/>
        </w:rPr>
        <w:t xml:space="preserve"> 各出资人应按照利益共享、风险共担的原则,在</w:t>
      </w:r>
      <w:r>
        <w:rPr>
          <w:rFonts w:hint="eastAsia" w:ascii="仿宋_GB2312" w:eastAsia="仿宋_GB2312"/>
          <w:sz w:val="32"/>
          <w:szCs w:val="32"/>
          <w:lang w:eastAsia="zh-CN"/>
        </w:rPr>
        <w:t>章程（合伙协议）</w:t>
      </w:r>
      <w:r>
        <w:rPr>
          <w:rFonts w:hint="eastAsia" w:ascii="仿宋_GB2312" w:eastAsia="仿宋_GB2312"/>
          <w:sz w:val="32"/>
          <w:szCs w:val="32"/>
        </w:rPr>
        <w:t>中明确约定收益分配与亏损分担方式</w:t>
      </w:r>
      <w:r>
        <w:rPr>
          <w:rFonts w:hint="eastAsia" w:ascii="仿宋_GB2312" w:eastAsia="仿宋_GB2312"/>
          <w:sz w:val="32"/>
          <w:szCs w:val="32"/>
          <w:lang w:eastAsia="zh-CN"/>
        </w:rPr>
        <w:t>，</w:t>
      </w:r>
      <w:r>
        <w:rPr>
          <w:rFonts w:hint="eastAsia" w:ascii="仿宋_GB2312" w:eastAsia="仿宋_GB2312"/>
          <w:sz w:val="32"/>
          <w:szCs w:val="32"/>
          <w:highlight w:val="none"/>
          <w:lang w:eastAsia="zh-CN"/>
        </w:rPr>
        <w:t>政府应以出资额为限承担有限责任</w:t>
      </w:r>
      <w:r>
        <w:rPr>
          <w:rFonts w:hint="eastAsia" w:ascii="仿宋_GB2312" w:eastAsia="仿宋_GB2312"/>
          <w:sz w:val="32"/>
          <w:szCs w:val="32"/>
        </w:rPr>
        <w:t>。</w:t>
      </w:r>
      <w:r>
        <w:rPr>
          <w:rFonts w:hint="eastAsia" w:ascii="仿宋_GB2312" w:eastAsia="仿宋_GB2312"/>
          <w:sz w:val="32"/>
          <w:szCs w:val="32"/>
          <w:lang w:eastAsia="zh-CN"/>
        </w:rPr>
        <w:t>参股基金</w:t>
      </w:r>
      <w:r>
        <w:rPr>
          <w:rFonts w:hint="eastAsia" w:ascii="仿宋_GB2312" w:eastAsia="仿宋_GB2312"/>
          <w:sz w:val="32"/>
          <w:szCs w:val="32"/>
        </w:rPr>
        <w:t>可按照基金类型、政策目标、风险偏好等，设置差异化门槛收益率。</w:t>
      </w:r>
    </w:p>
    <w:p w14:paraId="79F28CDA">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第二十条</w:t>
      </w:r>
      <w:r>
        <w:rPr>
          <w:rFonts w:hint="eastAsia" w:ascii="楷体_GB2312" w:hAnsi="楷体_GB2312" w:eastAsia="楷体_GB2312" w:cs="楷体_GB2312"/>
          <w:color w:val="333333"/>
          <w:sz w:val="32"/>
          <w:szCs w:val="32"/>
        </w:rPr>
        <w:t xml:space="preserve"> </w:t>
      </w:r>
      <w:r>
        <w:rPr>
          <w:rFonts w:hint="eastAsia" w:ascii="仿宋_GB2312" w:eastAsia="仿宋_GB2312" w:hAnsiTheme="minorHAnsi" w:cstheme="minorBidi"/>
          <w:sz w:val="32"/>
          <w:szCs w:val="32"/>
        </w:rPr>
        <w:t>省级政府投资基金出资部分的投资收益可适当让利。如设置让利机制的，应在</w:t>
      </w:r>
      <w:r>
        <w:rPr>
          <w:rFonts w:hint="eastAsia" w:ascii="仿宋_GB2312" w:eastAsia="仿宋_GB2312" w:hAnsiTheme="minorHAnsi" w:cstheme="minorBidi"/>
          <w:sz w:val="32"/>
          <w:szCs w:val="32"/>
          <w:lang w:eastAsia="zh-CN"/>
        </w:rPr>
        <w:t>章程（合伙协议）</w:t>
      </w:r>
      <w:r>
        <w:rPr>
          <w:rFonts w:hint="eastAsia" w:ascii="仿宋_GB2312" w:eastAsia="仿宋_GB2312" w:cstheme="minorBidi"/>
          <w:sz w:val="32"/>
          <w:szCs w:val="32"/>
        </w:rPr>
        <w:t>中</w:t>
      </w:r>
      <w:r>
        <w:rPr>
          <w:rFonts w:hint="eastAsia" w:ascii="仿宋_GB2312" w:eastAsia="仿宋_GB2312" w:hAnsiTheme="minorHAnsi" w:cstheme="minorBidi"/>
          <w:sz w:val="32"/>
          <w:szCs w:val="32"/>
        </w:rPr>
        <w:t>明确让利对象、让利情形等具体安排，让利对象可包括其他社会出资人、项目实控方等。</w:t>
      </w:r>
    </w:p>
    <w:p w14:paraId="0545A9F2">
      <w:pPr>
        <w:pStyle w:val="3"/>
        <w:widowControl w:val="0"/>
        <w:shd w:val="clear" w:color="auto" w:fill="FFFFFF"/>
        <w:spacing w:beforeAutospacing="0" w:afterAutospacing="0" w:line="600" w:lineRule="exact"/>
        <w:ind w:firstLine="640" w:firstLineChars="200"/>
        <w:jc w:val="both"/>
        <w:rPr>
          <w:rFonts w:ascii="仿宋_GB2312" w:eastAsia="仿宋_GB2312"/>
          <w:sz w:val="32"/>
          <w:szCs w:val="32"/>
        </w:rPr>
      </w:pPr>
      <w:r>
        <w:rPr>
          <w:rFonts w:hint="eastAsia" w:ascii="楷体_GB2312" w:hAnsi="楷体_GB2312" w:eastAsia="楷体_GB2312" w:cs="楷体_GB2312"/>
          <w:sz w:val="32"/>
          <w:szCs w:val="32"/>
        </w:rPr>
        <w:t>第二十一条</w:t>
      </w:r>
      <w:r>
        <w:rPr>
          <w:rFonts w:hint="eastAsia" w:ascii="仿宋_GB2312" w:eastAsia="仿宋_GB2312"/>
          <w:sz w:val="32"/>
          <w:szCs w:val="32"/>
        </w:rPr>
        <w:t xml:space="preserve"> </w:t>
      </w:r>
      <w:r>
        <w:rPr>
          <w:rFonts w:hint="eastAsia" w:ascii="仿宋_GB2312" w:eastAsia="仿宋_GB2312"/>
          <w:sz w:val="32"/>
          <w:szCs w:val="32"/>
          <w:lang w:eastAsia="zh-CN"/>
        </w:rPr>
        <w:t>参股基金</w:t>
      </w:r>
      <w:r>
        <w:rPr>
          <w:rFonts w:hint="eastAsia" w:ascii="仿宋_GB2312" w:eastAsia="仿宋_GB2312"/>
          <w:sz w:val="32"/>
          <w:szCs w:val="32"/>
        </w:rPr>
        <w:t>返投比例原则上不低于省级政府投资基金出资额的1倍，结合基金具体情况鼓励降低或取消返投比例。适度放宽和规范返投认定标准，加强返投监测，引导和激励基金更好服务产业发展和创新创业。</w:t>
      </w:r>
    </w:p>
    <w:p w14:paraId="482E65E2">
      <w:pPr>
        <w:widowControl w:val="0"/>
        <w:spacing w:line="60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省级政府投资基金不得附加注册地迁移条件对企业进行投资。</w:t>
      </w:r>
    </w:p>
    <w:p w14:paraId="10C3B28D">
      <w:pPr>
        <w:widowControl w:val="0"/>
        <w:spacing w:line="600" w:lineRule="exact"/>
        <w:rPr>
          <w:rFonts w:ascii="仿宋_GB2312" w:eastAsia="仿宋_GB2312"/>
          <w:sz w:val="32"/>
          <w:szCs w:val="32"/>
        </w:rPr>
      </w:pPr>
    </w:p>
    <w:p w14:paraId="4C629915">
      <w:pPr>
        <w:widowControl w:val="0"/>
        <w:spacing w:line="600" w:lineRule="exact"/>
        <w:jc w:val="center"/>
        <w:rPr>
          <w:rFonts w:ascii="黑体" w:hAnsi="黑体" w:eastAsia="黑体" w:cs="黑体"/>
          <w:bCs/>
          <w:sz w:val="32"/>
          <w:szCs w:val="32"/>
        </w:rPr>
      </w:pPr>
      <w:r>
        <w:rPr>
          <w:rFonts w:hint="eastAsia" w:ascii="黑体" w:hAnsi="黑体" w:eastAsia="黑体" w:cs="黑体"/>
          <w:bCs/>
          <w:sz w:val="32"/>
          <w:szCs w:val="32"/>
        </w:rPr>
        <w:t>第四章　基金运行管理与退出</w:t>
      </w:r>
    </w:p>
    <w:p w14:paraId="03090477">
      <w:pPr>
        <w:widowControl w:val="0"/>
        <w:spacing w:line="600" w:lineRule="exact"/>
        <w:rPr>
          <w:rFonts w:ascii="仿宋_GB2312" w:eastAsia="仿宋_GB2312"/>
          <w:sz w:val="32"/>
          <w:szCs w:val="32"/>
        </w:rPr>
      </w:pPr>
    </w:p>
    <w:p w14:paraId="0E844A81">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第二十二条</w:t>
      </w:r>
      <w:r>
        <w:rPr>
          <w:rFonts w:hint="eastAsia" w:ascii="仿宋_GB2312" w:eastAsia="仿宋_GB2312"/>
          <w:sz w:val="32"/>
          <w:szCs w:val="32"/>
        </w:rPr>
        <w:t xml:space="preserve"> </w:t>
      </w:r>
      <w:r>
        <w:rPr>
          <w:rFonts w:hint="eastAsia" w:ascii="仿宋_GB2312" w:hAnsi="仿宋_GB2312" w:eastAsia="仿宋_GB2312" w:cs="仿宋_GB2312"/>
          <w:sz w:val="32"/>
          <w:szCs w:val="32"/>
        </w:rPr>
        <w:t>政府职能部门、省级政府投资基金管理机构可采取监督基金投向、跟踪投资进度、强化智能监管等方式，推动基金合规运营。</w:t>
      </w:r>
    </w:p>
    <w:p w14:paraId="01294FF3">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第二十三条</w:t>
      </w:r>
      <w:r>
        <w:rPr>
          <w:rFonts w:hint="eastAsia" w:ascii="仿宋_GB2312" w:eastAsia="仿宋_GB2312"/>
          <w:sz w:val="32"/>
          <w:szCs w:val="32"/>
        </w:rPr>
        <w:t xml:space="preserve"> 省级政府投资基金及</w:t>
      </w:r>
      <w:r>
        <w:rPr>
          <w:rFonts w:hint="eastAsia" w:ascii="仿宋_GB2312" w:eastAsia="仿宋_GB2312"/>
          <w:sz w:val="32"/>
          <w:szCs w:val="32"/>
          <w:lang w:eastAsia="zh-CN"/>
        </w:rPr>
        <w:t>参股基金</w:t>
      </w:r>
      <w:r>
        <w:rPr>
          <w:rFonts w:hint="eastAsia" w:ascii="仿宋_GB2312" w:eastAsia="仿宋_GB2312"/>
          <w:sz w:val="32"/>
          <w:szCs w:val="32"/>
        </w:rPr>
        <w:t>应选择在中国境内具有</w:t>
      </w:r>
      <w:r>
        <w:rPr>
          <w:rFonts w:hint="eastAsia" w:ascii="仿宋_GB2312" w:eastAsia="仿宋_GB2312"/>
          <w:sz w:val="32"/>
          <w:szCs w:val="32"/>
          <w:lang w:eastAsia="zh-CN"/>
        </w:rPr>
        <w:t>基金</w:t>
      </w:r>
      <w:r>
        <w:rPr>
          <w:rFonts w:hint="eastAsia" w:ascii="仿宋_GB2312" w:eastAsia="仿宋_GB2312"/>
          <w:sz w:val="32"/>
          <w:szCs w:val="32"/>
        </w:rPr>
        <w:t>托管业务资质，且财务状况良好、未因托管业务不合规受到行政主管机关或司法机关处罚的金融机构进行托管。托管机构应依法履行托管职责，根据托管协议对基金活动进行全过程动态监管，安全保管所托管基金的资产，进行资金拨付、清算，建立资金异常流动监控机制，每季度出具托管报告。</w:t>
      </w:r>
    </w:p>
    <w:p w14:paraId="6A41C5BF">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第二十四条</w:t>
      </w:r>
      <w:r>
        <w:rPr>
          <w:rFonts w:hint="eastAsia" w:ascii="仿宋_GB2312" w:eastAsia="仿宋_GB2312"/>
          <w:sz w:val="32"/>
          <w:szCs w:val="32"/>
        </w:rPr>
        <w:t xml:space="preserve"> 省级政府投资基金应专账核算、专款专用，规范会计核算与财务管理，真实、准确、完整反映运营及损益情况</w:t>
      </w:r>
      <w:r>
        <w:rPr>
          <w:rFonts w:hint="eastAsia" w:ascii="仿宋_GB2312" w:hAnsi="仿宋_GB2312" w:eastAsia="仿宋_GB2312" w:cs="仿宋_GB2312"/>
          <w:color w:val="333333"/>
          <w:sz w:val="32"/>
          <w:szCs w:val="32"/>
          <w:shd w:val="clear" w:color="auto" w:fill="FFFFFF"/>
        </w:rPr>
        <w:t>，</w:t>
      </w:r>
      <w:r>
        <w:rPr>
          <w:rFonts w:hint="eastAsia" w:ascii="仿宋_GB2312" w:hAnsi="Times New Roman" w:eastAsia="仿宋_GB2312"/>
          <w:sz w:val="32"/>
          <w:szCs w:val="32"/>
        </w:rPr>
        <w:t>在充分保障基金投资需要的前提下，在资金使用间隙，可投资于银行</w:t>
      </w:r>
      <w:r>
        <w:rPr>
          <w:rFonts w:hint="eastAsia" w:ascii="仿宋_GB2312" w:hAnsi="Times New Roman" w:eastAsia="仿宋_GB2312"/>
          <w:sz w:val="32"/>
          <w:szCs w:val="32"/>
        </w:rPr>
        <w:t>定期</w:t>
      </w:r>
      <w:r>
        <w:rPr>
          <w:rFonts w:hint="eastAsia" w:ascii="仿宋_GB2312" w:hAnsi="Times New Roman" w:eastAsia="仿宋_GB2312"/>
          <w:sz w:val="32"/>
          <w:szCs w:val="32"/>
        </w:rPr>
        <w:t>存款、国债、中央银行票据等风险较低、流动性较强的资产。间隙资金的管理收益按照投资收益管理。</w:t>
      </w:r>
    </w:p>
    <w:p w14:paraId="0CC84C4D">
      <w:pPr>
        <w:widowControl w:val="0"/>
        <w:spacing w:line="600" w:lineRule="exact"/>
        <w:ind w:firstLine="640" w:firstLineChars="200"/>
        <w:rPr>
          <w:rFonts w:ascii="Times New Roman" w:hAnsi="Times New Roman"/>
        </w:rPr>
      </w:pPr>
      <w:r>
        <w:rPr>
          <w:rFonts w:hint="eastAsia" w:ascii="楷体_GB2312" w:hAnsi="楷体_GB2312" w:eastAsia="楷体_GB2312" w:cs="楷体_GB2312"/>
          <w:sz w:val="32"/>
          <w:szCs w:val="32"/>
        </w:rPr>
        <w:t>第二十五条</w:t>
      </w:r>
      <w:r>
        <w:rPr>
          <w:rFonts w:hint="eastAsia" w:ascii="仿宋_GB2312" w:eastAsia="仿宋_GB2312" w:cstheme="minorBidi"/>
          <w:sz w:val="32"/>
          <w:szCs w:val="32"/>
        </w:rPr>
        <w:t xml:space="preserve"> 省级</w:t>
      </w:r>
      <w:r>
        <w:rPr>
          <w:rFonts w:hint="eastAsia" w:ascii="仿宋_GB2312" w:hAnsi="Times New Roman" w:eastAsia="仿宋_GB2312"/>
          <w:sz w:val="32"/>
          <w:szCs w:val="32"/>
        </w:rPr>
        <w:t>政府投资基金</w:t>
      </w:r>
      <w:r>
        <w:rPr>
          <w:rFonts w:ascii="Times New Roman" w:hAnsi="Times New Roman" w:eastAsia="仿宋_GB2312"/>
          <w:sz w:val="32"/>
          <w:szCs w:val="32"/>
        </w:rPr>
        <w:t>在运作过程中不得从事以下业务：</w:t>
      </w:r>
    </w:p>
    <w:p w14:paraId="6EEF6F7C">
      <w:pPr>
        <w:widowControl w:val="0"/>
        <w:spacing w:line="600" w:lineRule="exact"/>
        <w:ind w:firstLine="640" w:firstLineChars="200"/>
        <w:rPr>
          <w:rFonts w:ascii="Times New Roman" w:hAnsi="Times New Roman"/>
        </w:rPr>
      </w:pPr>
      <w:r>
        <w:rPr>
          <w:rFonts w:hint="eastAsia" w:ascii="Times New Roman" w:hAnsi="Times New Roman" w:eastAsia="仿宋_GB2312"/>
          <w:sz w:val="32"/>
          <w:szCs w:val="32"/>
        </w:rPr>
        <w:t>（一）</w:t>
      </w:r>
      <w:r>
        <w:rPr>
          <w:rFonts w:ascii="Times New Roman" w:hAnsi="Times New Roman" w:eastAsia="仿宋_GB2312"/>
          <w:sz w:val="32"/>
          <w:szCs w:val="32"/>
        </w:rPr>
        <w:t>从事担保、抵押、委托贷款等业务；</w:t>
      </w:r>
    </w:p>
    <w:p w14:paraId="0AD6EB46">
      <w:pPr>
        <w:widowControl w:val="0"/>
        <w:spacing w:line="600" w:lineRule="exact"/>
        <w:ind w:firstLine="640" w:firstLineChars="200"/>
        <w:rPr>
          <w:rFonts w:ascii="Times New Roman" w:hAnsi="Times New Roman"/>
        </w:rPr>
      </w:pPr>
      <w:r>
        <w:rPr>
          <w:rFonts w:hint="eastAsia" w:ascii="Times New Roman" w:hAnsi="Times New Roman" w:eastAsia="仿宋_GB2312"/>
          <w:sz w:val="32"/>
          <w:szCs w:val="32"/>
        </w:rPr>
        <w:t>（二）</w:t>
      </w:r>
      <w:r>
        <w:rPr>
          <w:rFonts w:ascii="Times New Roman" w:hAnsi="Times New Roman" w:eastAsia="仿宋_GB2312"/>
          <w:sz w:val="32"/>
          <w:szCs w:val="32"/>
        </w:rPr>
        <w:t>投资二级市场股票</w:t>
      </w:r>
      <w:r>
        <w:rPr>
          <w:rFonts w:hint="eastAsia" w:ascii="Times New Roman" w:hAnsi="Times New Roman" w:eastAsia="仿宋_GB2312"/>
          <w:sz w:val="32"/>
          <w:szCs w:val="32"/>
        </w:rPr>
        <w:t>（设立方案明确可参与的并购重组、定向增发、战略配售除外）</w:t>
      </w:r>
      <w:r>
        <w:rPr>
          <w:rFonts w:ascii="Times New Roman" w:hAnsi="Times New Roman" w:eastAsia="仿宋_GB2312"/>
          <w:sz w:val="32"/>
          <w:szCs w:val="32"/>
        </w:rPr>
        <w:t>、期货、房地产、证券投资基金、评级AAA以下的企业债、信托产品、理财产品、保险计划及其他金融衍生品；</w:t>
      </w:r>
    </w:p>
    <w:p w14:paraId="62DC8391">
      <w:pPr>
        <w:widowControl w:val="0"/>
        <w:spacing w:line="600" w:lineRule="exact"/>
        <w:ind w:firstLine="640" w:firstLineChars="200"/>
        <w:rPr>
          <w:rFonts w:ascii="Times New Roman" w:hAnsi="Times New Roman"/>
        </w:rPr>
      </w:pPr>
      <w:r>
        <w:rPr>
          <w:rFonts w:hint="eastAsia" w:ascii="Times New Roman" w:hAnsi="Times New Roman" w:eastAsia="仿宋_GB2312"/>
          <w:sz w:val="32"/>
          <w:szCs w:val="32"/>
        </w:rPr>
        <w:t>（三）</w:t>
      </w:r>
      <w:r>
        <w:rPr>
          <w:rFonts w:ascii="Times New Roman" w:hAnsi="Times New Roman" w:eastAsia="仿宋_GB2312"/>
          <w:sz w:val="32"/>
          <w:szCs w:val="32"/>
        </w:rPr>
        <w:t>向任何第三方提供赞助、捐赠（经批准的公益性捐赠除外）；</w:t>
      </w:r>
    </w:p>
    <w:p w14:paraId="1F2A3169">
      <w:pPr>
        <w:widowControl w:val="0"/>
        <w:spacing w:line="600" w:lineRule="exact"/>
        <w:ind w:firstLine="640" w:firstLineChars="200"/>
        <w:rPr>
          <w:rFonts w:ascii="Times New Roman" w:hAnsi="Times New Roman"/>
        </w:rPr>
      </w:pPr>
      <w:r>
        <w:rPr>
          <w:rFonts w:hint="eastAsia" w:ascii="Times New Roman" w:hAnsi="Times New Roman" w:eastAsia="仿宋_GB2312"/>
          <w:sz w:val="32"/>
          <w:szCs w:val="32"/>
        </w:rPr>
        <w:t>（四）</w:t>
      </w:r>
      <w:r>
        <w:rPr>
          <w:rFonts w:ascii="Times New Roman" w:hAnsi="Times New Roman" w:eastAsia="仿宋_GB2312"/>
          <w:sz w:val="32"/>
          <w:szCs w:val="32"/>
        </w:rPr>
        <w:t>吸收或变相吸收存款，或向第三方提供贷款和资金拆借；</w:t>
      </w:r>
    </w:p>
    <w:p w14:paraId="1C25CBAB">
      <w:pPr>
        <w:widowControl w:val="0"/>
        <w:spacing w:line="600" w:lineRule="exact"/>
        <w:ind w:firstLine="640" w:firstLineChars="200"/>
        <w:rPr>
          <w:rFonts w:ascii="Times New Roman" w:hAnsi="Times New Roman"/>
        </w:rPr>
      </w:pPr>
      <w:r>
        <w:rPr>
          <w:rFonts w:hint="eastAsia" w:ascii="Times New Roman" w:hAnsi="Times New Roman" w:eastAsia="仿宋_GB2312"/>
          <w:sz w:val="32"/>
          <w:szCs w:val="32"/>
        </w:rPr>
        <w:t>（五）</w:t>
      </w:r>
      <w:r>
        <w:rPr>
          <w:rFonts w:ascii="Times New Roman" w:hAnsi="Times New Roman" w:eastAsia="仿宋_GB2312"/>
          <w:sz w:val="32"/>
          <w:szCs w:val="32"/>
        </w:rPr>
        <w:t>进行承担无限连带责任的对外投资；</w:t>
      </w:r>
    </w:p>
    <w:p w14:paraId="55324F1D">
      <w:pPr>
        <w:widowControl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w:t>
      </w:r>
      <w:r>
        <w:rPr>
          <w:rFonts w:ascii="Times New Roman" w:hAnsi="Times New Roman" w:eastAsia="仿宋_GB2312"/>
          <w:sz w:val="32"/>
          <w:szCs w:val="32"/>
        </w:rPr>
        <w:t>发行信托或集合理财产品募集资金；</w:t>
      </w:r>
    </w:p>
    <w:p w14:paraId="325125AD">
      <w:pPr>
        <w:widowControl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新增地方政府隐性债务的行为，以任何方式承诺回购社会资本方的投资本金，以任何方式承担社会资本方的投资本金损失，以任何方式向社会资本方承诺最低收益，对有限合伙制基金等任何股权投资方式额外附加条款变相举债；</w:t>
      </w:r>
    </w:p>
    <w:p w14:paraId="38E7CADC">
      <w:pPr>
        <w:widowControl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（八）将基金投资作为招商引资优惠条件；</w:t>
      </w:r>
    </w:p>
    <w:p w14:paraId="2ABE3E83">
      <w:pPr>
        <w:widowControl w:val="0"/>
        <w:numPr>
          <w:ilvl w:val="255"/>
          <w:numId w:val="0"/>
        </w:numPr>
        <w:spacing w:line="600" w:lineRule="exact"/>
        <w:ind w:firstLine="640" w:firstLineChars="200"/>
        <w:rPr>
          <w:rFonts w:ascii="仿宋_GB2312" w:eastAsia="仿宋_GB2312"/>
          <w:sz w:val="32"/>
          <w:szCs w:val="32"/>
        </w:rPr>
      </w:pPr>
      <w:r>
        <w:rPr>
          <w:rFonts w:hint="eastAsia" w:ascii="Times New Roman" w:hAnsi="Times New Roman" w:eastAsia="仿宋_GB2312"/>
          <w:sz w:val="32"/>
          <w:szCs w:val="32"/>
        </w:rPr>
        <w:t>（九）</w:t>
      </w:r>
      <w:r>
        <w:rPr>
          <w:rFonts w:ascii="Times New Roman" w:hAnsi="Times New Roman" w:eastAsia="仿宋_GB2312"/>
          <w:sz w:val="32"/>
          <w:szCs w:val="32"/>
        </w:rPr>
        <w:t>其他法律法规禁止从事的业务。</w:t>
      </w:r>
    </w:p>
    <w:p w14:paraId="747A26C8">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第二十六条</w:t>
      </w:r>
      <w:r>
        <w:rPr>
          <w:rFonts w:hint="eastAsia" w:ascii="仿宋_GB2312" w:eastAsia="仿宋_GB2312"/>
          <w:sz w:val="32"/>
          <w:szCs w:val="32"/>
        </w:rPr>
        <w:t xml:space="preserve"> 省级政府投资基金管理</w:t>
      </w:r>
      <w:r>
        <w:rPr>
          <w:rFonts w:ascii="仿宋_GB2312" w:eastAsia="仿宋_GB2312"/>
          <w:sz w:val="32"/>
          <w:szCs w:val="32"/>
        </w:rPr>
        <w:t>机构</w:t>
      </w:r>
      <w:r>
        <w:rPr>
          <w:rFonts w:hint="eastAsia" w:eastAsia="仿宋_GB2312"/>
          <w:sz w:val="32"/>
          <w:szCs w:val="32"/>
        </w:rPr>
        <w:t>应</w:t>
      </w:r>
      <w:r>
        <w:rPr>
          <w:rFonts w:hint="eastAsia" w:ascii="仿宋_GB2312" w:eastAsia="仿宋_GB2312"/>
          <w:sz w:val="32"/>
          <w:szCs w:val="32"/>
        </w:rPr>
        <w:t>加强对</w:t>
      </w:r>
      <w:r>
        <w:rPr>
          <w:rFonts w:hint="eastAsia" w:ascii="仿宋_GB2312" w:eastAsia="仿宋_GB2312"/>
          <w:sz w:val="32"/>
          <w:szCs w:val="32"/>
          <w:lang w:eastAsia="zh-CN"/>
        </w:rPr>
        <w:t>参股基金</w:t>
      </w:r>
      <w:r>
        <w:rPr>
          <w:rFonts w:hint="eastAsia" w:ascii="仿宋_GB2312" w:eastAsia="仿宋_GB2312"/>
          <w:sz w:val="32"/>
          <w:szCs w:val="32"/>
        </w:rPr>
        <w:t>的监管，跟踪项目进展，对不符合本办法规定，偏离政策投资方向或存在套取省级政府投资基金行为等拟投项目，应及时予以阻止或纠正；发现</w:t>
      </w:r>
      <w:r>
        <w:rPr>
          <w:rFonts w:hint="eastAsia" w:ascii="仿宋_GB2312" w:eastAsia="仿宋_GB2312"/>
          <w:sz w:val="32"/>
          <w:szCs w:val="32"/>
          <w:lang w:eastAsia="zh-CN"/>
        </w:rPr>
        <w:t>参股基金</w:t>
      </w:r>
      <w:r>
        <w:rPr>
          <w:rFonts w:hint="eastAsia" w:ascii="仿宋_GB2312" w:eastAsia="仿宋_GB2312"/>
          <w:sz w:val="32"/>
          <w:szCs w:val="32"/>
        </w:rPr>
        <w:t>违法违规、偏离政策导向、违反</w:t>
      </w:r>
      <w:r>
        <w:rPr>
          <w:rFonts w:hint="eastAsia" w:ascii="仿宋_GB2312" w:eastAsia="仿宋_GB2312"/>
          <w:sz w:val="32"/>
          <w:szCs w:val="32"/>
          <w:lang w:eastAsia="zh-CN"/>
        </w:rPr>
        <w:t>章程（合伙协议）</w:t>
      </w:r>
      <w:r>
        <w:rPr>
          <w:rFonts w:hint="eastAsia" w:ascii="仿宋_GB2312" w:eastAsia="仿宋_GB2312"/>
          <w:sz w:val="32"/>
          <w:szCs w:val="32"/>
        </w:rPr>
        <w:t>等情形,应及时要求限期整改。</w:t>
      </w:r>
    </w:p>
    <w:p w14:paraId="0F365CE3">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第二十七条</w:t>
      </w:r>
      <w:r>
        <w:rPr>
          <w:rFonts w:hint="eastAsia" w:ascii="楷体_GB2312" w:hAnsi="楷体_GB2312" w:eastAsia="楷体_GB2312" w:cs="楷体_GB2312"/>
          <w:color w:val="333333"/>
          <w:sz w:val="32"/>
          <w:szCs w:val="32"/>
        </w:rPr>
        <w:t xml:space="preserve"> </w:t>
      </w:r>
      <w:r>
        <w:rPr>
          <w:rFonts w:hint="eastAsia" w:ascii="仿宋_GB2312" w:eastAsia="仿宋_GB2312" w:hAnsiTheme="minorHAnsi" w:cstheme="minorBidi"/>
          <w:sz w:val="32"/>
          <w:szCs w:val="32"/>
        </w:rPr>
        <w:t>省级</w:t>
      </w:r>
      <w:r>
        <w:rPr>
          <w:rFonts w:hint="eastAsia" w:ascii="仿宋_GB2312" w:eastAsia="仿宋_GB2312"/>
          <w:sz w:val="32"/>
          <w:szCs w:val="32"/>
        </w:rPr>
        <w:t>政府投资基金及</w:t>
      </w:r>
      <w:r>
        <w:rPr>
          <w:rFonts w:hint="eastAsia" w:ascii="仿宋_GB2312" w:eastAsia="仿宋_GB2312"/>
          <w:sz w:val="32"/>
          <w:szCs w:val="32"/>
          <w:lang w:eastAsia="zh-CN"/>
        </w:rPr>
        <w:t>参股基金</w:t>
      </w:r>
      <w:r>
        <w:rPr>
          <w:rFonts w:hint="eastAsia" w:ascii="仿宋_GB2312" w:eastAsia="仿宋_GB2312"/>
          <w:sz w:val="32"/>
          <w:szCs w:val="32"/>
        </w:rPr>
        <w:t>管理机构应发挥专业平台优势，为被投企业在公司治理、融资对接、市场拓展、产业链协同、上市培育等方面提供增值服务，助力被投企业规范发展、提升核心竞争力。</w:t>
      </w:r>
    </w:p>
    <w:p w14:paraId="3714A66B">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第二十八条</w:t>
      </w:r>
      <w:r>
        <w:rPr>
          <w:rFonts w:hint="eastAsia" w:ascii="仿宋_GB2312" w:eastAsia="仿宋_GB2312"/>
          <w:sz w:val="32"/>
          <w:szCs w:val="32"/>
        </w:rPr>
        <w:t xml:space="preserve"> 省级政府投资基金管理机构是基金退出的第一责任人，应建立健全基金退出管理制度，制定退出计划，维护出资人权益。</w:t>
      </w:r>
    </w:p>
    <w:p w14:paraId="0605CD6D">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第二十九条</w:t>
      </w:r>
      <w:r>
        <w:rPr>
          <w:rFonts w:hint="eastAsia" w:ascii="仿宋_GB2312" w:eastAsia="仿宋_GB2312"/>
          <w:sz w:val="32"/>
          <w:szCs w:val="32"/>
        </w:rPr>
        <w:t xml:space="preserve"> 省级政府投资基金可通过股权（份额）转让、股票减持、并购、解散清算等方式退出，优先选择有利于实现政策目标和保障资金安全的退出路径。</w:t>
      </w:r>
    </w:p>
    <w:p w14:paraId="3B216A43">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第三十条</w:t>
      </w:r>
      <w:r>
        <w:rPr>
          <w:rFonts w:hint="eastAsia" w:ascii="楷体_GB2312" w:hAnsi="楷体_GB2312" w:eastAsia="楷体_GB2312" w:cs="楷体_GB2312"/>
          <w:color w:val="333333"/>
          <w:sz w:val="32"/>
          <w:szCs w:val="32"/>
        </w:rPr>
        <w:t xml:space="preserve"> </w:t>
      </w:r>
      <w:r>
        <w:rPr>
          <w:rFonts w:hint="eastAsia" w:ascii="仿宋_GB2312" w:eastAsia="仿宋_GB2312" w:hAnsiTheme="minorHAnsi" w:cstheme="minorBidi"/>
          <w:sz w:val="32"/>
          <w:szCs w:val="32"/>
          <w:highlight w:val="none"/>
        </w:rPr>
        <w:t>省级</w:t>
      </w:r>
      <w:r>
        <w:rPr>
          <w:rFonts w:hint="eastAsia" w:ascii="仿宋_GB2312" w:eastAsia="仿宋_GB2312"/>
          <w:sz w:val="32"/>
          <w:szCs w:val="32"/>
          <w:highlight w:val="none"/>
        </w:rPr>
        <w:t>政府投资基金</w:t>
      </w:r>
      <w:r>
        <w:rPr>
          <w:rFonts w:hint="eastAsia" w:ascii="仿宋_GB2312" w:eastAsia="仿宋_GB2312"/>
          <w:sz w:val="32"/>
          <w:szCs w:val="32"/>
          <w:highlight w:val="none"/>
          <w:lang w:eastAsia="zh-CN"/>
        </w:rPr>
        <w:t>及参股基金管理机构应在</w:t>
      </w:r>
      <w:r>
        <w:rPr>
          <w:rFonts w:hint="eastAsia" w:ascii="仿宋_GB2312" w:eastAsia="仿宋_GB2312"/>
          <w:sz w:val="32"/>
          <w:szCs w:val="32"/>
          <w:lang w:eastAsia="zh-CN"/>
        </w:rPr>
        <w:t>章程（合伙协议）</w:t>
      </w:r>
      <w:r>
        <w:rPr>
          <w:rFonts w:hint="eastAsia" w:ascii="仿宋_GB2312" w:eastAsia="仿宋_GB2312"/>
          <w:sz w:val="32"/>
          <w:szCs w:val="32"/>
        </w:rPr>
        <w:t>中明确约定退出条件。未作出约定的，退出时应依法依规进行评估，采取市场化方式确定转让价格，按国有资本管理有关规定须进场交易的，应通过依法设立的产权交易机构采取公开挂牌方式退出。</w:t>
      </w:r>
    </w:p>
    <w:p w14:paraId="05AB5106">
      <w:pPr>
        <w:widowControl w:val="0"/>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第三十一条</w:t>
      </w:r>
      <w:r>
        <w:rPr>
          <w:rFonts w:hint="eastAsia" w:ascii="楷体_GB2312" w:hAnsi="楷体_GB2312" w:eastAsia="楷体_GB2312" w:cs="楷体_GB2312"/>
          <w:color w:val="333333"/>
          <w:sz w:val="32"/>
          <w:szCs w:val="32"/>
        </w:rPr>
        <w:t xml:space="preserve"> </w:t>
      </w:r>
      <w:r>
        <w:rPr>
          <w:rFonts w:hint="eastAsia" w:ascii="仿宋_GB2312" w:eastAsia="仿宋_GB2312" w:cstheme="minorBidi"/>
          <w:sz w:val="32"/>
          <w:szCs w:val="32"/>
        </w:rPr>
        <w:t>省级</w:t>
      </w:r>
      <w:r>
        <w:rPr>
          <w:rFonts w:hint="eastAsia" w:ascii="仿宋_GB2312" w:eastAsia="仿宋_GB2312"/>
          <w:sz w:val="32"/>
          <w:szCs w:val="32"/>
        </w:rPr>
        <w:t>政府投资基金应与其他出资人在</w:t>
      </w:r>
      <w:r>
        <w:rPr>
          <w:rFonts w:hint="eastAsia" w:ascii="仿宋_GB2312" w:eastAsia="仿宋_GB2312"/>
          <w:sz w:val="32"/>
          <w:szCs w:val="32"/>
          <w:lang w:eastAsia="zh-CN"/>
        </w:rPr>
        <w:t>参股基金章程（合伙协议）</w:t>
      </w:r>
      <w:r>
        <w:rPr>
          <w:rFonts w:hint="eastAsia" w:ascii="仿宋_GB2312" w:eastAsia="仿宋_GB2312"/>
          <w:sz w:val="32"/>
          <w:szCs w:val="32"/>
        </w:rPr>
        <w:t>中明确存在以下情形的，省级政府投资基金可选择提前退出，且无需经由其他出资人同意:</w:t>
      </w:r>
    </w:p>
    <w:p w14:paraId="096C6DF1">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（一）</w:t>
      </w:r>
      <w:r>
        <w:rPr>
          <w:rFonts w:hint="eastAsia" w:ascii="仿宋_GB2312" w:eastAsia="仿宋_GB2312"/>
          <w:sz w:val="32"/>
          <w:szCs w:val="32"/>
          <w:lang w:eastAsia="zh-CN"/>
        </w:rPr>
        <w:t>章程（合伙协议）</w:t>
      </w:r>
      <w:r>
        <w:rPr>
          <w:rFonts w:hint="eastAsia" w:ascii="仿宋_GB2312" w:eastAsia="仿宋_GB2312"/>
          <w:sz w:val="32"/>
          <w:szCs w:val="32"/>
        </w:rPr>
        <w:t>签署后超过一年，未按规定程序和时间完成设立或增资手续的;</w:t>
      </w:r>
    </w:p>
    <w:p w14:paraId="0F219135">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（二）省级政府投资基金实缴出资到</w:t>
      </w:r>
      <w:r>
        <w:rPr>
          <w:rFonts w:hint="eastAsia" w:ascii="仿宋_GB2312" w:eastAsia="仿宋_GB2312"/>
          <w:sz w:val="32"/>
          <w:szCs w:val="32"/>
          <w:lang w:eastAsia="zh-CN"/>
        </w:rPr>
        <w:t>参股基金</w:t>
      </w:r>
      <w:r>
        <w:rPr>
          <w:rFonts w:hint="eastAsia" w:ascii="仿宋_GB2312" w:eastAsia="仿宋_GB2312"/>
          <w:sz w:val="32"/>
          <w:szCs w:val="32"/>
        </w:rPr>
        <w:t>账户一年以上，</w:t>
      </w:r>
      <w:r>
        <w:rPr>
          <w:rFonts w:hint="eastAsia" w:ascii="仿宋_GB2312" w:eastAsia="仿宋_GB2312"/>
          <w:sz w:val="32"/>
          <w:szCs w:val="32"/>
          <w:lang w:eastAsia="zh-CN"/>
        </w:rPr>
        <w:t>参股基金</w:t>
      </w:r>
      <w:r>
        <w:rPr>
          <w:rFonts w:hint="eastAsia" w:ascii="仿宋_GB2312" w:eastAsia="仿宋_GB2312"/>
          <w:sz w:val="32"/>
          <w:szCs w:val="32"/>
        </w:rPr>
        <w:t>未开展投资业务的;</w:t>
      </w:r>
    </w:p>
    <w:p w14:paraId="080E94CA">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（三）投资领域和方向不符合政策目标的;</w:t>
      </w:r>
    </w:p>
    <w:p w14:paraId="6D537BEA">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（四）</w:t>
      </w:r>
      <w:r>
        <w:rPr>
          <w:rFonts w:hint="eastAsia" w:ascii="仿宋_GB2312" w:eastAsia="仿宋_GB2312"/>
          <w:sz w:val="32"/>
          <w:szCs w:val="32"/>
          <w:lang w:eastAsia="zh-CN"/>
        </w:rPr>
        <w:t>参股基金</w:t>
      </w:r>
      <w:r>
        <w:rPr>
          <w:rFonts w:hint="eastAsia" w:ascii="仿宋_GB2312" w:eastAsia="仿宋_GB2312"/>
          <w:sz w:val="32"/>
          <w:szCs w:val="32"/>
        </w:rPr>
        <w:t>管理机构或其他出资人故意或重大过失损害省级政府投资基金利益的；</w:t>
      </w:r>
    </w:p>
    <w:p w14:paraId="41EE06EF">
      <w:pPr>
        <w:widowControl w:val="0"/>
        <w:spacing w:line="600" w:lineRule="exact"/>
        <w:ind w:firstLine="640" w:firstLineChars="200"/>
        <w:rPr>
          <w:rFonts w:ascii="仿宋_GB2312" w:eastAsia="仿宋_GB2312"/>
          <w:sz w:val="32"/>
          <w:szCs w:val="32"/>
        </w:rPr>
      </w:pPr>
      <w:r>
        <w:rPr>
          <w:rFonts w:hint="eastAsia" w:ascii="仿宋_GB2312" w:eastAsia="仿宋_GB2312"/>
          <w:sz w:val="32"/>
          <w:szCs w:val="32"/>
        </w:rPr>
        <w:t>（五）其他不符合</w:t>
      </w:r>
      <w:r>
        <w:rPr>
          <w:rFonts w:hint="eastAsia" w:ascii="仿宋_GB2312" w:eastAsia="仿宋_GB2312"/>
          <w:sz w:val="32"/>
          <w:szCs w:val="32"/>
          <w:lang w:eastAsia="zh-CN"/>
        </w:rPr>
        <w:t>章程（合伙协议）</w:t>
      </w:r>
      <w:r>
        <w:rPr>
          <w:rFonts w:hint="eastAsia" w:ascii="仿宋_GB2312" w:eastAsia="仿宋_GB2312"/>
          <w:sz w:val="32"/>
          <w:szCs w:val="32"/>
        </w:rPr>
        <w:t xml:space="preserve">约定情形，且未能及时纠正的。 </w:t>
      </w:r>
    </w:p>
    <w:p w14:paraId="11CA1320">
      <w:pPr>
        <w:widowControl w:val="0"/>
        <w:spacing w:line="600" w:lineRule="exact"/>
        <w:ind w:firstLine="640" w:firstLineChars="200"/>
        <w:rPr>
          <w:rFonts w:hint="eastAsia" w:ascii="仿宋_GB2312" w:eastAsia="仿宋_GB2312"/>
          <w:sz w:val="32"/>
          <w:szCs w:val="32"/>
        </w:rPr>
      </w:pPr>
      <w:r>
        <w:rPr>
          <w:rFonts w:hint="eastAsia" w:ascii="楷体_GB2312" w:hAnsi="楷体_GB2312" w:eastAsia="楷体_GB2312" w:cs="楷体_GB2312"/>
          <w:sz w:val="32"/>
          <w:szCs w:val="32"/>
        </w:rPr>
        <w:t>第三十二条</w:t>
      </w:r>
      <w:r>
        <w:rPr>
          <w:rFonts w:hint="eastAsia" w:ascii="仿宋_GB2312" w:eastAsia="仿宋_GB2312"/>
          <w:sz w:val="32"/>
          <w:szCs w:val="32"/>
        </w:rPr>
        <w:t xml:space="preserve"> </w:t>
      </w:r>
      <w:r>
        <w:rPr>
          <w:rFonts w:hint="eastAsia" w:ascii="仿宋_GB2312" w:eastAsia="仿宋_GB2312"/>
          <w:sz w:val="32"/>
          <w:szCs w:val="32"/>
          <w:lang w:eastAsia="zh-CN"/>
        </w:rPr>
        <w:t>省级政府投资基金在存续期届满后应组织清算，</w:t>
      </w:r>
      <w:r>
        <w:rPr>
          <w:rFonts w:hint="eastAsia" w:ascii="仿宋_GB2312" w:hAnsi="仿宋_GB2312" w:eastAsia="仿宋_GB2312" w:cs="仿宋_GB2312"/>
          <w:sz w:val="32"/>
          <w:szCs w:val="32"/>
        </w:rPr>
        <w:t>经清算后仍有未变现资产的，鼓励</w:t>
      </w:r>
      <w:r>
        <w:rPr>
          <w:rFonts w:hint="eastAsia" w:ascii="仿宋_GB2312" w:hAnsi="仿宋_GB2312" w:eastAsia="仿宋_GB2312" w:cs="仿宋_GB2312"/>
          <w:sz w:val="32"/>
          <w:szCs w:val="32"/>
          <w:lang w:eastAsia="zh-CN"/>
        </w:rPr>
        <w:t>根据实际</w:t>
      </w:r>
      <w:r>
        <w:rPr>
          <w:rFonts w:hint="eastAsia" w:ascii="仿宋_GB2312" w:hAnsi="仿宋_GB2312" w:eastAsia="仿宋_GB2312" w:cs="仿宋_GB2312"/>
          <w:sz w:val="32"/>
          <w:szCs w:val="32"/>
        </w:rPr>
        <w:t>分类采取现状分配、划转指定机构代持</w:t>
      </w:r>
      <w:r>
        <w:rPr>
          <w:rFonts w:hint="eastAsia" w:ascii="仿宋_GB2312" w:hAnsi="仿宋_GB2312" w:eastAsia="仿宋_GB2312" w:cs="仿宋_GB2312"/>
          <w:sz w:val="32"/>
          <w:szCs w:val="32"/>
          <w:lang w:eastAsia="zh-CN"/>
        </w:rPr>
        <w:t>、</w:t>
      </w:r>
      <w:r>
        <w:rPr>
          <w:rFonts w:hint="eastAsia" w:ascii="仿宋_GB2312" w:eastAsia="仿宋_GB2312"/>
          <w:sz w:val="32"/>
          <w:szCs w:val="32"/>
          <w:lang w:eastAsia="zh-CN"/>
        </w:rPr>
        <w:t>市场化处置</w:t>
      </w:r>
      <w:r>
        <w:rPr>
          <w:rFonts w:hint="eastAsia" w:ascii="仿宋_GB2312" w:hAnsi="仿宋_GB2312" w:eastAsia="仿宋_GB2312" w:cs="仿宋_GB2312"/>
          <w:sz w:val="32"/>
          <w:szCs w:val="32"/>
        </w:rPr>
        <w:t>等方式予以</w:t>
      </w:r>
      <w:r>
        <w:rPr>
          <w:rFonts w:hint="eastAsia" w:ascii="仿宋_GB2312" w:hAnsi="仿宋_GB2312" w:eastAsia="仿宋_GB2312" w:cs="仿宋_GB2312"/>
          <w:sz w:val="32"/>
          <w:szCs w:val="32"/>
          <w:lang w:eastAsia="zh-CN"/>
        </w:rPr>
        <w:t>处理</w:t>
      </w:r>
      <w:r>
        <w:rPr>
          <w:rFonts w:hint="eastAsia" w:ascii="仿宋_GB2312" w:hAnsi="仿宋_GB2312" w:eastAsia="仿宋_GB2312" w:cs="仿宋_GB2312"/>
          <w:sz w:val="32"/>
          <w:szCs w:val="32"/>
        </w:rPr>
        <w:t>。</w:t>
      </w:r>
    </w:p>
    <w:p w14:paraId="3BC0D1F1">
      <w:pPr>
        <w:widowControl w:val="0"/>
        <w:spacing w:line="60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第三十三条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采取</w:t>
      </w:r>
      <w:r>
        <w:rPr>
          <w:rFonts w:hint="eastAsia" w:ascii="仿宋_GB2312" w:hAnsi="仿宋_GB2312" w:eastAsia="仿宋_GB2312" w:cs="仿宋_GB2312"/>
          <w:sz w:val="32"/>
          <w:szCs w:val="32"/>
          <w:lang w:eastAsia="zh-CN"/>
        </w:rPr>
        <w:t>直接出资或</w:t>
      </w:r>
      <w:r>
        <w:rPr>
          <w:rFonts w:hint="eastAsia" w:ascii="仿宋_GB2312" w:hAnsi="仿宋_GB2312" w:eastAsia="仿宋_GB2312" w:cs="仿宋_GB2312"/>
          <w:sz w:val="32"/>
          <w:szCs w:val="32"/>
        </w:rPr>
        <w:t>委托管理方式设立省级政府投资基金的，归属政府出资部分的本金和收益</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按照财政预算和国库管理制度有关规定及时足额上缴国库。</w:t>
      </w:r>
    </w:p>
    <w:p w14:paraId="537D5F3F">
      <w:pPr>
        <w:widowControl w:val="0"/>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采取</w:t>
      </w:r>
      <w:r>
        <w:rPr>
          <w:rFonts w:hint="eastAsia" w:ascii="仿宋_GB2312" w:eastAsia="仿宋_GB2312"/>
          <w:sz w:val="32"/>
          <w:szCs w:val="32"/>
        </w:rPr>
        <w:t>注资国有企业方式设立省级政府投资基金的，收回的政府出资和上缴国有资本经营收益后的投资收益，</w:t>
      </w:r>
      <w:r>
        <w:rPr>
          <w:rFonts w:hint="eastAsia" w:ascii="仿宋_GB2312" w:eastAsia="仿宋_GB2312"/>
          <w:sz w:val="32"/>
          <w:szCs w:val="32"/>
        </w:rPr>
        <w:t>经省财政厅同意后，</w:t>
      </w:r>
      <w:r>
        <w:rPr>
          <w:rFonts w:hint="eastAsia" w:ascii="仿宋_GB2312" w:eastAsia="仿宋_GB2312"/>
          <w:sz w:val="32"/>
          <w:szCs w:val="32"/>
        </w:rPr>
        <w:t>可继续用于</w:t>
      </w:r>
      <w:r>
        <w:rPr>
          <w:rFonts w:hint="eastAsia" w:ascii="仿宋_GB2312" w:eastAsia="仿宋_GB2312"/>
          <w:sz w:val="32"/>
          <w:szCs w:val="32"/>
          <w:lang w:eastAsia="zh-CN"/>
        </w:rPr>
        <w:t>省级政府投资</w:t>
      </w:r>
      <w:r>
        <w:rPr>
          <w:rFonts w:hint="eastAsia" w:ascii="仿宋_GB2312" w:eastAsia="仿宋_GB2312"/>
          <w:sz w:val="32"/>
          <w:szCs w:val="32"/>
        </w:rPr>
        <w:t>基金</w:t>
      </w:r>
      <w:r>
        <w:rPr>
          <w:rFonts w:hint="eastAsia" w:ascii="仿宋_GB2312" w:eastAsia="仿宋_GB2312"/>
          <w:sz w:val="32"/>
          <w:szCs w:val="32"/>
          <w:lang w:eastAsia="zh-CN"/>
        </w:rPr>
        <w:t>出资</w:t>
      </w:r>
      <w:r>
        <w:rPr>
          <w:rFonts w:hint="eastAsia" w:ascii="仿宋_GB2312" w:eastAsia="仿宋_GB2312"/>
          <w:sz w:val="32"/>
          <w:szCs w:val="32"/>
        </w:rPr>
        <w:t>。</w:t>
      </w:r>
    </w:p>
    <w:p w14:paraId="5CE32B1E">
      <w:pPr>
        <w:widowControl w:val="0"/>
        <w:spacing w:line="600" w:lineRule="exact"/>
        <w:ind w:firstLine="643" w:firstLineChars="200"/>
        <w:rPr>
          <w:rFonts w:ascii="仿宋_GB2312" w:eastAsia="仿宋_GB2312"/>
          <w:b/>
          <w:sz w:val="32"/>
          <w:szCs w:val="32"/>
        </w:rPr>
      </w:pPr>
    </w:p>
    <w:p w14:paraId="4223743C">
      <w:pPr>
        <w:widowControl w:val="0"/>
        <w:spacing w:line="600" w:lineRule="exact"/>
        <w:jc w:val="center"/>
        <w:rPr>
          <w:rFonts w:ascii="黑体" w:hAnsi="黑体" w:eastAsia="黑体" w:cs="黑体"/>
          <w:bCs/>
          <w:sz w:val="32"/>
          <w:szCs w:val="32"/>
        </w:rPr>
      </w:pPr>
      <w:r>
        <w:rPr>
          <w:rFonts w:hint="eastAsia" w:ascii="黑体" w:hAnsi="黑体" w:eastAsia="黑体" w:cs="黑体"/>
          <w:bCs/>
          <w:sz w:val="32"/>
          <w:szCs w:val="32"/>
        </w:rPr>
        <w:t>第五章　监督评价与风险防控</w:t>
      </w:r>
    </w:p>
    <w:p w14:paraId="125E898E">
      <w:pPr>
        <w:widowControl w:val="0"/>
        <w:spacing w:line="600" w:lineRule="exact"/>
        <w:ind w:firstLine="640" w:firstLineChars="200"/>
        <w:rPr>
          <w:rFonts w:ascii="仿宋_GB2312" w:eastAsia="仿宋_GB2312"/>
          <w:sz w:val="32"/>
          <w:szCs w:val="32"/>
        </w:rPr>
      </w:pPr>
    </w:p>
    <w:p w14:paraId="69B2919E">
      <w:pPr>
        <w:widowControl w:val="0"/>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第三十</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条</w:t>
      </w:r>
      <w:r>
        <w:rPr>
          <w:rFonts w:hint="eastAsia" w:ascii="仿宋_GB2312" w:eastAsia="仿宋_GB2312"/>
          <w:sz w:val="32"/>
          <w:szCs w:val="32"/>
        </w:rPr>
        <w:t>　</w:t>
      </w:r>
      <w:r>
        <w:rPr>
          <w:rFonts w:hint="eastAsia" w:ascii="仿宋_GB2312" w:hAnsi="仿宋_GB2312" w:eastAsia="仿宋_GB2312" w:cs="仿宋_GB2312"/>
          <w:sz w:val="32"/>
          <w:szCs w:val="32"/>
        </w:rPr>
        <w:t>省财政厅会同有关部门对省级政府投资基金</w:t>
      </w:r>
      <w:r>
        <w:rPr>
          <w:rFonts w:hint="eastAsia" w:ascii="仿宋_GB2312" w:eastAsia="仿宋_GB2312"/>
          <w:sz w:val="32"/>
          <w:szCs w:val="32"/>
        </w:rPr>
        <w:t>实施多层次、全过程预算绩效管理，合理设置绩效目标和绩效评价周期，构建科学化、差异化、可量化的绩效指标体系，对目标实现程度、投资运营效果和管理效能及风险防控等进行整体评价，不以单个项目或单一年度盈亏作为考核依据。</w:t>
      </w:r>
    </w:p>
    <w:p w14:paraId="6A372139">
      <w:pPr>
        <w:widowControl w:val="0"/>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第三十</w:t>
      </w: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条</w:t>
      </w:r>
      <w:r>
        <w:rPr>
          <w:rFonts w:hint="eastAsia" w:ascii="仿宋_GB2312" w:hAnsi="仿宋_GB2312" w:eastAsia="仿宋_GB2312" w:cs="仿宋_GB2312"/>
          <w:sz w:val="32"/>
          <w:szCs w:val="32"/>
        </w:rPr>
        <w:t xml:space="preserve"> 省级政府投资基金管理机构按要求开展绩效目标编制、绩效运行监控、绩效自评等，并按规定对</w:t>
      </w:r>
      <w:r>
        <w:rPr>
          <w:rFonts w:hint="eastAsia" w:ascii="仿宋_GB2312" w:hAnsi="仿宋_GB2312" w:eastAsia="仿宋_GB2312" w:cs="仿宋_GB2312"/>
          <w:sz w:val="32"/>
          <w:szCs w:val="32"/>
          <w:lang w:eastAsia="zh-CN"/>
        </w:rPr>
        <w:t>参股基金</w:t>
      </w:r>
      <w:r>
        <w:rPr>
          <w:rFonts w:hint="eastAsia" w:ascii="仿宋_GB2312" w:hAnsi="仿宋_GB2312" w:eastAsia="仿宋_GB2312" w:cs="仿宋_GB2312"/>
          <w:sz w:val="32"/>
          <w:szCs w:val="32"/>
        </w:rPr>
        <w:t>开展全过程绩效管理。</w:t>
      </w:r>
    </w:p>
    <w:p w14:paraId="12DEA83E">
      <w:pPr>
        <w:widowControl w:val="0"/>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第三十</w:t>
      </w: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条</w:t>
      </w:r>
      <w:r>
        <w:rPr>
          <w:rFonts w:hint="eastAsia" w:ascii="仿宋_GB2312" w:eastAsia="仿宋_GB2312"/>
          <w:sz w:val="32"/>
          <w:szCs w:val="32"/>
        </w:rPr>
        <w:t xml:space="preserve"> 建立省级政府投资基金绩效管理的激励约束机制，评价结果作为基金管理费计提、后续出资、改进管理、确定考核等级的重要参考，切实发挥绩效评价导向作用。</w:t>
      </w:r>
    </w:p>
    <w:p w14:paraId="3D320415">
      <w:pPr>
        <w:widowControl w:val="0"/>
        <w:numPr>
          <w:ilvl w:val="255"/>
          <w:numId w:val="0"/>
        </w:numPr>
        <w:spacing w:line="60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第</w:t>
      </w:r>
      <w:r>
        <w:rPr>
          <w:rFonts w:ascii="楷体_GB2312" w:hAnsi="楷体_GB2312" w:eastAsia="楷体_GB2312" w:cs="楷体_GB2312"/>
          <w:sz w:val="32"/>
          <w:szCs w:val="32"/>
        </w:rPr>
        <w:t>三</w:t>
      </w:r>
      <w:r>
        <w:rPr>
          <w:rFonts w:hint="eastAsia" w:ascii="楷体_GB2312" w:hAnsi="楷体_GB2312" w:eastAsia="楷体_GB2312" w:cs="楷体_GB2312"/>
          <w:sz w:val="32"/>
          <w:szCs w:val="32"/>
        </w:rPr>
        <w:t>十</w:t>
      </w:r>
      <w:r>
        <w:rPr>
          <w:rFonts w:hint="eastAsia" w:ascii="楷体_GB2312" w:hAnsi="楷体_GB2312" w:eastAsia="楷体_GB2312" w:cs="楷体_GB2312"/>
          <w:sz w:val="32"/>
          <w:szCs w:val="32"/>
          <w:lang w:eastAsia="zh-CN"/>
        </w:rPr>
        <w:t>七</w:t>
      </w:r>
      <w:r>
        <w:rPr>
          <w:rFonts w:hint="eastAsia" w:ascii="楷体_GB2312" w:hAnsi="楷体_GB2312" w:eastAsia="楷体_GB2312" w:cs="楷体_GB2312"/>
          <w:sz w:val="32"/>
          <w:szCs w:val="32"/>
        </w:rPr>
        <w:t>条</w:t>
      </w:r>
      <w:r>
        <w:rPr>
          <w:rFonts w:hint="eastAsia" w:ascii="仿宋_GB2312" w:hAnsi="仿宋_GB2312" w:eastAsia="仿宋_GB2312" w:cs="仿宋_GB2312"/>
          <w:sz w:val="32"/>
          <w:szCs w:val="32"/>
        </w:rPr>
        <w:t xml:space="preserve"> 建立健全尽职免责机制，完善免责认定标准和认定程序，未擅自扩大投资范围、未隐瞒投资相关信息、未牟取非法利益、充分开展尽职调查并依法合规履行决策程序的，在责任追究单位监管考核时对投资损失不作负面评价，经认定后可免予追究相关机构及个人的责任。</w:t>
      </w:r>
    </w:p>
    <w:p w14:paraId="20115195">
      <w:pPr>
        <w:pStyle w:val="3"/>
        <w:widowControl w:val="0"/>
        <w:spacing w:beforeAutospacing="0" w:afterAutospacing="0" w:line="600" w:lineRule="exact"/>
        <w:ind w:right="0" w:firstLine="640" w:firstLineChars="200"/>
        <w:jc w:val="both"/>
        <w:rPr>
          <w:rFonts w:ascii="仿宋_GB2312" w:hAnsi="Times New Roman" w:eastAsia="仿宋_GB2312"/>
          <w:sz w:val="32"/>
          <w:szCs w:val="32"/>
        </w:rPr>
      </w:pPr>
      <w:r>
        <w:rPr>
          <w:rFonts w:hint="eastAsia" w:ascii="楷体_GB2312" w:hAnsi="楷体_GB2312" w:eastAsia="楷体_GB2312" w:cs="楷体_GB2312"/>
          <w:kern w:val="2"/>
          <w:sz w:val="32"/>
          <w:szCs w:val="32"/>
        </w:rPr>
        <w:t>第三十</w:t>
      </w:r>
      <w:r>
        <w:rPr>
          <w:rFonts w:hint="eastAsia" w:ascii="楷体_GB2312" w:hAnsi="楷体_GB2312" w:eastAsia="楷体_GB2312" w:cs="楷体_GB2312"/>
          <w:kern w:val="2"/>
          <w:sz w:val="32"/>
          <w:szCs w:val="32"/>
          <w:lang w:eastAsia="zh-CN"/>
        </w:rPr>
        <w:t>八</w:t>
      </w:r>
      <w:r>
        <w:rPr>
          <w:rFonts w:hint="eastAsia" w:ascii="楷体_GB2312" w:hAnsi="楷体_GB2312" w:eastAsia="楷体_GB2312" w:cs="楷体_GB2312"/>
          <w:kern w:val="2"/>
          <w:sz w:val="32"/>
          <w:szCs w:val="32"/>
        </w:rPr>
        <w:t>条</w:t>
      </w:r>
      <w:r>
        <w:rPr>
          <w:rFonts w:hint="eastAsia" w:ascii="仿宋_GB2312" w:eastAsia="仿宋_GB2312"/>
          <w:sz w:val="32"/>
          <w:szCs w:val="32"/>
        </w:rPr>
        <w:t xml:space="preserve"> 省级</w:t>
      </w:r>
      <w:r>
        <w:rPr>
          <w:rFonts w:hint="eastAsia" w:ascii="仿宋_GB2312" w:hAnsi="Times New Roman" w:eastAsia="仿宋_GB2312"/>
          <w:sz w:val="32"/>
          <w:szCs w:val="32"/>
        </w:rPr>
        <w:t>政府投资基金应建立内部控制制度，健全投资决策风险约束机制，全面提升基金管理运作、风险防控智能化水平。</w:t>
      </w:r>
    </w:p>
    <w:p w14:paraId="01655FA0">
      <w:pPr>
        <w:pStyle w:val="3"/>
        <w:widowControl w:val="0"/>
        <w:spacing w:beforeAutospacing="0" w:afterAutospacing="0" w:line="600" w:lineRule="exact"/>
        <w:ind w:right="0"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省级政府投资基金管理机构应建立健全关联交易管理制度、廉政风险防控体系，严禁通过基金估值虚增利润，</w:t>
      </w:r>
      <w:r>
        <w:rPr>
          <w:rFonts w:hint="eastAsia" w:ascii="仿宋_GB2312" w:hAnsi="Times New Roman" w:eastAsia="仿宋_GB2312"/>
          <w:sz w:val="32"/>
          <w:szCs w:val="32"/>
        </w:rPr>
        <w:t>切实防范基金运作过程中可能出现的风险。</w:t>
      </w:r>
    </w:p>
    <w:p w14:paraId="6BC36E12">
      <w:pPr>
        <w:pStyle w:val="3"/>
        <w:widowControl w:val="0"/>
        <w:spacing w:beforeAutospacing="0" w:afterAutospacing="0" w:line="600" w:lineRule="exact"/>
        <w:ind w:right="0" w:firstLine="640" w:firstLineChars="200"/>
        <w:jc w:val="both"/>
        <w:rPr>
          <w:rFonts w:ascii="仿宋_GB2312" w:eastAsia="仿宋_GB2312"/>
          <w:sz w:val="32"/>
          <w:szCs w:val="32"/>
        </w:rPr>
      </w:pPr>
      <w:r>
        <w:rPr>
          <w:rFonts w:hint="eastAsia" w:ascii="楷体_GB2312" w:hAnsi="楷体_GB2312" w:eastAsia="楷体_GB2312" w:cs="楷体_GB2312"/>
          <w:kern w:val="2"/>
          <w:sz w:val="32"/>
          <w:szCs w:val="32"/>
        </w:rPr>
        <w:t>第三十</w:t>
      </w:r>
      <w:r>
        <w:rPr>
          <w:rFonts w:hint="eastAsia" w:ascii="楷体_GB2312" w:hAnsi="楷体_GB2312" w:eastAsia="楷体_GB2312" w:cs="楷体_GB2312"/>
          <w:kern w:val="2"/>
          <w:sz w:val="32"/>
          <w:szCs w:val="32"/>
          <w:lang w:eastAsia="zh-CN"/>
        </w:rPr>
        <w:t>九</w:t>
      </w:r>
      <w:r>
        <w:rPr>
          <w:rFonts w:hint="eastAsia" w:ascii="楷体_GB2312" w:hAnsi="楷体_GB2312" w:eastAsia="楷体_GB2312" w:cs="楷体_GB2312"/>
          <w:kern w:val="2"/>
          <w:sz w:val="32"/>
          <w:szCs w:val="32"/>
        </w:rPr>
        <w:t>条</w:t>
      </w:r>
      <w:r>
        <w:rPr>
          <w:rFonts w:hint="eastAsia" w:ascii="仿宋_GB2312" w:eastAsia="仿宋_GB2312"/>
          <w:sz w:val="32"/>
          <w:szCs w:val="32"/>
        </w:rPr>
        <w:t xml:space="preserve"> 省级政府投资基金运营中出现重大问题或风险，以及基金管理机构发生重大变更事项，基金管理机构应立即向出资人报告并及时采取应对措施。</w:t>
      </w:r>
    </w:p>
    <w:p w14:paraId="61858B8B">
      <w:pPr>
        <w:pStyle w:val="3"/>
        <w:widowControl w:val="0"/>
        <w:spacing w:beforeAutospacing="0" w:afterAutospacing="0" w:line="600" w:lineRule="exact"/>
        <w:ind w:right="0" w:firstLine="640" w:firstLineChars="200"/>
        <w:jc w:val="both"/>
        <w:rPr>
          <w:rFonts w:ascii="仿宋_GB2312" w:eastAsia="仿宋_GB2312"/>
          <w:sz w:val="32"/>
          <w:szCs w:val="32"/>
        </w:rPr>
      </w:pPr>
      <w:r>
        <w:rPr>
          <w:rFonts w:hint="eastAsia" w:ascii="楷体_GB2312" w:hAnsi="楷体_GB2312" w:eastAsia="楷体_GB2312" w:cs="楷体_GB2312"/>
          <w:kern w:val="2"/>
          <w:sz w:val="32"/>
          <w:szCs w:val="32"/>
        </w:rPr>
        <w:t>第</w:t>
      </w:r>
      <w:r>
        <w:rPr>
          <w:rFonts w:hint="eastAsia" w:ascii="楷体_GB2312" w:hAnsi="楷体_GB2312" w:eastAsia="楷体_GB2312" w:cs="楷体_GB2312"/>
          <w:kern w:val="2"/>
          <w:sz w:val="32"/>
          <w:szCs w:val="32"/>
          <w:lang w:eastAsia="zh-CN"/>
        </w:rPr>
        <w:t>四十</w:t>
      </w:r>
      <w:r>
        <w:rPr>
          <w:rFonts w:hint="eastAsia" w:ascii="楷体_GB2312" w:hAnsi="楷体_GB2312" w:eastAsia="楷体_GB2312" w:cs="楷体_GB2312"/>
          <w:kern w:val="2"/>
          <w:sz w:val="32"/>
          <w:szCs w:val="32"/>
        </w:rPr>
        <w:t>条</w:t>
      </w:r>
      <w:r>
        <w:rPr>
          <w:rFonts w:hint="eastAsia" w:ascii="仿宋_GB2312" w:eastAsia="仿宋_GB2312"/>
          <w:sz w:val="32"/>
          <w:szCs w:val="32"/>
        </w:rPr>
        <w:t xml:space="preserve"> </w:t>
      </w:r>
      <w:r>
        <w:rPr>
          <w:rFonts w:ascii="仿宋_GB2312" w:eastAsia="仿宋_GB2312"/>
          <w:sz w:val="32"/>
          <w:szCs w:val="32"/>
        </w:rPr>
        <w:t>省级</w:t>
      </w:r>
      <w:r>
        <w:rPr>
          <w:rFonts w:hint="eastAsia" w:ascii="仿宋_GB2312" w:eastAsia="仿宋_GB2312"/>
          <w:sz w:val="32"/>
          <w:szCs w:val="32"/>
        </w:rPr>
        <w:t>政府投资基金管理</w:t>
      </w:r>
      <w:r>
        <w:rPr>
          <w:rFonts w:ascii="仿宋_GB2312" w:eastAsia="仿宋_GB2312"/>
          <w:sz w:val="32"/>
          <w:szCs w:val="32"/>
        </w:rPr>
        <w:t>机构</w:t>
      </w:r>
      <w:r>
        <w:rPr>
          <w:rFonts w:hint="eastAsia" w:ascii="仿宋_GB2312" w:eastAsia="仿宋_GB2312"/>
          <w:sz w:val="32"/>
          <w:szCs w:val="32"/>
        </w:rPr>
        <w:t>应严格落实定期报告制度和产权登记有关规定，并于每个会计年度结束后3个月内向省财政厅报送年度工作报告，6个月内报送财务审计报告。</w:t>
      </w:r>
    </w:p>
    <w:p w14:paraId="1BCC6690">
      <w:pPr>
        <w:pStyle w:val="3"/>
        <w:widowControl w:val="0"/>
        <w:spacing w:beforeAutospacing="0" w:afterAutospacing="0" w:line="600" w:lineRule="exact"/>
        <w:ind w:right="0" w:firstLine="640" w:firstLineChars="200"/>
        <w:jc w:val="both"/>
        <w:rPr>
          <w:rFonts w:ascii="仿宋_GB2312" w:eastAsia="仿宋_GB2312"/>
          <w:sz w:val="32"/>
          <w:szCs w:val="32"/>
        </w:rPr>
      </w:pPr>
      <w:r>
        <w:rPr>
          <w:rFonts w:hint="eastAsia" w:ascii="楷体_GB2312" w:hAnsi="楷体_GB2312" w:eastAsia="楷体_GB2312" w:cs="楷体_GB2312"/>
          <w:kern w:val="2"/>
          <w:sz w:val="32"/>
          <w:szCs w:val="32"/>
        </w:rPr>
        <w:t>第四十</w:t>
      </w:r>
      <w:r>
        <w:rPr>
          <w:rFonts w:hint="eastAsia" w:ascii="楷体_GB2312" w:hAnsi="楷体_GB2312" w:eastAsia="楷体_GB2312" w:cs="楷体_GB2312"/>
          <w:kern w:val="2"/>
          <w:sz w:val="32"/>
          <w:szCs w:val="32"/>
          <w:lang w:eastAsia="zh-CN"/>
        </w:rPr>
        <w:t>一</w:t>
      </w:r>
      <w:r>
        <w:rPr>
          <w:rFonts w:hint="eastAsia" w:ascii="楷体_GB2312" w:hAnsi="楷体_GB2312" w:eastAsia="楷体_GB2312" w:cs="楷体_GB2312"/>
          <w:kern w:val="2"/>
          <w:sz w:val="32"/>
          <w:szCs w:val="32"/>
        </w:rPr>
        <w:t>条</w:t>
      </w:r>
      <w:r>
        <w:rPr>
          <w:rFonts w:hint="eastAsia" w:ascii="仿宋_GB2312" w:eastAsia="仿宋_GB2312"/>
          <w:sz w:val="32"/>
          <w:szCs w:val="32"/>
        </w:rPr>
        <w:t xml:space="preserve"> 省级政府投资基金可从当年实现的投资收益中提取一定比例的风险准备基金，用于弥补以后年度可能发生的投资风险损失。计提比例由省级政府投资基金管理机构结合基金实际提出，并经出资人同意。基金清算时，剩余的风险准备金按照出资比例向出资人分配。</w:t>
      </w:r>
    </w:p>
    <w:p w14:paraId="2ECA9B1F">
      <w:pPr>
        <w:widowControl w:val="0"/>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第四十</w:t>
      </w: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省财政厅</w:t>
      </w:r>
      <w:r>
        <w:rPr>
          <w:rFonts w:hint="eastAsia" w:ascii="仿宋_GB2312" w:hAnsi="仿宋_GB2312" w:eastAsia="仿宋_GB2312" w:cs="仿宋_GB2312"/>
          <w:sz w:val="32"/>
          <w:szCs w:val="32"/>
        </w:rPr>
        <w:t>会同有关部门对省级政府投资基金运作管理情况进行监督，重点关注偏离政策目标、资金沉淀闲置、投资进度缓慢、投资决策不规范、内控制度不健全等问题。</w:t>
      </w:r>
    </w:p>
    <w:p w14:paraId="6C21D9C7">
      <w:pPr>
        <w:widowControl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对监督发现的问题，应提出整改意见，采取约谈、函询</w:t>
      </w:r>
      <w:r>
        <w:rPr>
          <w:rFonts w:hint="eastAsia" w:ascii="仿宋_GB2312" w:hAnsi="仿宋_GB2312" w:eastAsia="仿宋_GB2312" w:cs="仿宋_GB2312"/>
          <w:sz w:val="32"/>
          <w:szCs w:val="32"/>
        </w:rPr>
        <w:t>、通报</w:t>
      </w:r>
      <w:r>
        <w:rPr>
          <w:rFonts w:hint="eastAsia" w:ascii="仿宋_GB2312" w:hAnsi="仿宋_GB2312" w:eastAsia="仿宋_GB2312" w:cs="仿宋_GB2312"/>
          <w:sz w:val="32"/>
          <w:szCs w:val="32"/>
        </w:rPr>
        <w:t>等方式督促省级政府投资基金管理机构整改，跟踪整改落实情况，强化监督约束。</w:t>
      </w:r>
    </w:p>
    <w:p w14:paraId="425391C4">
      <w:pPr>
        <w:widowControl w:val="0"/>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第四十</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条</w:t>
      </w:r>
      <w:r>
        <w:rPr>
          <w:rFonts w:hint="eastAsia" w:ascii="仿宋_GB2312" w:hAnsi="仿宋_GB2312" w:eastAsia="仿宋_GB2312" w:cs="仿宋_GB2312"/>
          <w:sz w:val="32"/>
          <w:szCs w:val="32"/>
        </w:rPr>
        <w:t xml:space="preserve"> 省级政府投资基金及</w:t>
      </w:r>
      <w:r>
        <w:rPr>
          <w:rFonts w:hint="eastAsia" w:ascii="仿宋_GB2312" w:hAnsi="仿宋_GB2312" w:eastAsia="仿宋_GB2312" w:cs="仿宋_GB2312"/>
          <w:sz w:val="32"/>
          <w:szCs w:val="32"/>
          <w:lang w:eastAsia="zh-CN"/>
        </w:rPr>
        <w:t>参股基金</w:t>
      </w:r>
      <w:r>
        <w:rPr>
          <w:rFonts w:hint="eastAsia" w:ascii="仿宋_GB2312" w:hAnsi="仿宋_GB2312" w:eastAsia="仿宋_GB2312" w:cs="仿宋_GB2312"/>
          <w:sz w:val="32"/>
          <w:szCs w:val="32"/>
        </w:rPr>
        <w:t>从业人员存在玩忽职守、滥用职权、徇私舞弊或者利用职务便利索取或收受他人财物等行为的,依规依纪依法给予处理处分；构成犯罪的，依法追究刑事责任。</w:t>
      </w:r>
    </w:p>
    <w:p w14:paraId="645FE368">
      <w:pPr>
        <w:widowControl w:val="0"/>
        <w:spacing w:line="600" w:lineRule="exact"/>
        <w:ind w:firstLine="640" w:firstLineChars="200"/>
        <w:rPr>
          <w:rFonts w:ascii="仿宋_GB2312" w:hAnsi="仿宋_GB2312" w:eastAsia="仿宋_GB2312" w:cs="仿宋_GB2312"/>
          <w:sz w:val="32"/>
          <w:szCs w:val="32"/>
        </w:rPr>
      </w:pPr>
    </w:p>
    <w:p w14:paraId="07D6E9DB">
      <w:pPr>
        <w:widowControl w:val="0"/>
        <w:spacing w:line="600" w:lineRule="exact"/>
        <w:jc w:val="center"/>
        <w:rPr>
          <w:rFonts w:ascii="黑体" w:hAnsi="黑体" w:eastAsia="黑体" w:cs="黑体"/>
          <w:bCs/>
          <w:sz w:val="32"/>
          <w:szCs w:val="32"/>
        </w:rPr>
      </w:pPr>
      <w:r>
        <w:rPr>
          <w:rFonts w:hint="eastAsia" w:ascii="黑体" w:hAnsi="黑体" w:eastAsia="黑体" w:cs="黑体"/>
          <w:bCs/>
          <w:sz w:val="32"/>
          <w:szCs w:val="32"/>
        </w:rPr>
        <w:t>第六章　附　则</w:t>
      </w:r>
    </w:p>
    <w:p w14:paraId="29CF53B9">
      <w:pPr>
        <w:widowControl w:val="0"/>
        <w:spacing w:line="600" w:lineRule="exact"/>
        <w:ind w:firstLine="640" w:firstLineChars="200"/>
        <w:rPr>
          <w:rFonts w:ascii="仿宋_GB2312" w:eastAsia="仿宋_GB2312"/>
          <w:sz w:val="32"/>
          <w:szCs w:val="32"/>
        </w:rPr>
      </w:pPr>
    </w:p>
    <w:p w14:paraId="455BE9A1">
      <w:pPr>
        <w:widowControl w:val="0"/>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第四十</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条</w:t>
      </w:r>
      <w:r>
        <w:rPr>
          <w:rFonts w:hint="eastAsia" w:ascii="仿宋_GB2312" w:eastAsia="仿宋_GB2312"/>
          <w:sz w:val="32"/>
          <w:szCs w:val="32"/>
        </w:rPr>
        <w:t xml:space="preserve"> 省级政府投资基金参与国家级基金设立或与国家级基金共同投资其他基金的，</w:t>
      </w:r>
      <w:r>
        <w:rPr>
          <w:rFonts w:hint="eastAsia" w:ascii="仿宋_GB2312" w:eastAsia="仿宋_GB2312"/>
          <w:sz w:val="32"/>
          <w:szCs w:val="32"/>
          <w:highlight w:val="none"/>
        </w:rPr>
        <w:t>可</w:t>
      </w:r>
      <w:r>
        <w:rPr>
          <w:rFonts w:hint="eastAsia" w:ascii="仿宋_GB2312" w:eastAsia="仿宋_GB2312"/>
          <w:sz w:val="32"/>
          <w:szCs w:val="32"/>
        </w:rPr>
        <w:t>按照国家级基金有关规定执行。与其他省（自治区、直辖市）合作设立基金的，按照各方协商确定的方案执行。</w:t>
      </w:r>
    </w:p>
    <w:p w14:paraId="253E61D9">
      <w:pPr>
        <w:widowControl w:val="0"/>
        <w:spacing w:line="60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第四十</w:t>
      </w: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条</w:t>
      </w:r>
      <w:r>
        <w:rPr>
          <w:rFonts w:hint="eastAsia" w:ascii="仿宋_GB2312" w:hAnsi="仿宋_GB2312" w:eastAsia="仿宋_GB2312" w:cs="仿宋_GB2312"/>
          <w:sz w:val="32"/>
          <w:szCs w:val="32"/>
        </w:rPr>
        <w:t xml:space="preserve"> </w:t>
      </w:r>
      <w:r>
        <w:rPr>
          <w:rFonts w:hint="eastAsia" w:ascii="仿宋_GB2312" w:eastAsia="仿宋_GB2312"/>
          <w:sz w:val="32"/>
          <w:szCs w:val="32"/>
        </w:rPr>
        <w:t>本办法由省财政厅负责解释。原有省级政府投资基金管理有关规定与本办法不一致的,以本办法为准。国家另有规定的，从其规定。</w:t>
      </w:r>
    </w:p>
    <w:p w14:paraId="618B8CD1">
      <w:pPr>
        <w:widowControl w:val="0"/>
        <w:overflowPunct/>
        <w:adjustRightInd/>
        <w:snapToGrid/>
        <w:spacing w:line="600" w:lineRule="exact"/>
        <w:ind w:firstLine="800" w:firstLineChars="250"/>
        <w:jc w:val="left"/>
        <w:rPr>
          <w:rFonts w:ascii="仿宋_GB2312" w:eastAsia="仿宋_GB2312"/>
          <w:sz w:val="28"/>
          <w:szCs w:val="28"/>
        </w:rPr>
      </w:pPr>
      <w:r>
        <w:rPr>
          <w:rFonts w:hint="eastAsia" w:ascii="楷体_GB2312" w:hAnsi="楷体_GB2312" w:eastAsia="楷体_GB2312" w:cs="楷体_GB2312"/>
          <w:sz w:val="32"/>
          <w:szCs w:val="32"/>
        </w:rPr>
        <w:t>第四十</w:t>
      </w: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条</w:t>
      </w:r>
      <w:r>
        <w:rPr>
          <w:rFonts w:hint="eastAsia" w:ascii="仿宋_GB2312" w:eastAsia="仿宋_GB2312"/>
          <w:sz w:val="32"/>
          <w:szCs w:val="32"/>
        </w:rPr>
        <w:t xml:space="preserve"> 本办法自2026年 月 日起施行。 </w:t>
      </w:r>
    </w:p>
    <w:p w14:paraId="301C8D44">
      <w:pPr>
        <w:widowControl w:val="0"/>
      </w:pPr>
    </w:p>
    <w:p w14:paraId="0B37ACD4">
      <w:pPr>
        <w:widowControl w:val="0"/>
        <w:overflowPunct/>
        <w:adjustRightInd/>
        <w:snapToGrid/>
        <w:spacing w:line="600" w:lineRule="exact"/>
        <w:ind w:firstLine="700" w:firstLineChars="250"/>
        <w:jc w:val="left"/>
        <w:rPr>
          <w:rFonts w:ascii="仿宋_GB2312" w:eastAsia="仿宋_GB2312"/>
          <w:sz w:val="28"/>
          <w:szCs w:val="28"/>
        </w:rPr>
      </w:pPr>
    </w:p>
    <w:p w14:paraId="390EA957"/>
    <w:sectPr>
      <w:footerReference r:id="rId3" w:type="default"/>
      <w:pgSz w:w="11906" w:h="16838"/>
      <w:pgMar w:top="2041" w:right="1701" w:bottom="2041" w:left="1701" w:header="851" w:footer="136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E68A5">
    <w:pPr>
      <w:pStyle w:val="2"/>
      <w:jc w:val="center"/>
      <w:rPr>
        <w:rFonts w:ascii="宋体" w:hAnsi="宋体"/>
        <w:sz w:val="24"/>
        <w:szCs w:val="24"/>
      </w:rPr>
    </w:pPr>
    <w:r>
      <w:rPr>
        <w:sz w:val="24"/>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86CC91B">
                          <w:pPr>
                            <w:pStyle w:val="2"/>
                            <w:jc w:val="center"/>
                          </w:pPr>
                          <w:r>
                            <w:rPr>
                              <w:rFonts w:hint="eastAsia" w:ascii="宋体" w:hAnsi="宋体"/>
                              <w:sz w:val="24"/>
                              <w:szCs w:val="24"/>
                            </w:rPr>
                            <w:t xml:space="preserve">— </w:t>
                          </w:r>
                          <w:r>
                            <w:rPr>
                              <w:rFonts w:ascii="宋体" w:hAnsi="宋体"/>
                              <w:sz w:val="24"/>
                              <w:szCs w:val="24"/>
                            </w:rPr>
                            <w:fldChar w:fldCharType="begin"/>
                          </w:r>
                          <w:r>
                            <w:rPr>
                              <w:rFonts w:ascii="宋体" w:hAnsi="宋体"/>
                              <w:sz w:val="24"/>
                              <w:szCs w:val="24"/>
                            </w:rPr>
                            <w:instrText xml:space="preserve">PAGE   \* MERGEFORMAT</w:instrText>
                          </w:r>
                          <w:r>
                            <w:rPr>
                              <w:rFonts w:ascii="宋体" w:hAnsi="宋体"/>
                              <w:sz w:val="24"/>
                              <w:szCs w:val="24"/>
                            </w:rPr>
                            <w:fldChar w:fldCharType="separate"/>
                          </w:r>
                          <w:r>
                            <w:rPr>
                              <w:rFonts w:ascii="宋体" w:hAnsi="宋体"/>
                              <w:sz w:val="24"/>
                              <w:szCs w:val="24"/>
                              <w:lang w:val="zh-CN"/>
                            </w:rPr>
                            <w:t>17</w:t>
                          </w:r>
                          <w:r>
                            <w:rPr>
                              <w:rFonts w:ascii="宋体" w:hAnsi="宋体"/>
                              <w:sz w:val="24"/>
                              <w:szCs w:val="24"/>
                            </w:rPr>
                            <w:fldChar w:fldCharType="end"/>
                          </w:r>
                          <w:r>
                            <w:rPr>
                              <w:rFonts w:hint="eastAsia" w:ascii="宋体" w:hAnsi="宋体"/>
                              <w:sz w:val="24"/>
                              <w:szCs w:val="24"/>
                            </w:rPr>
                            <w:t xml:space="preserve"> —</w:t>
                          </w:r>
                        </w:p>
                      </w:txbxContent>
                    </wps:txbx>
                    <wps:bodyPr vert="horz" wrap="none" lIns="0" tIns="0" rIns="0" bIns="0" anchor="t">
                      <a:spAutoFit/>
                    </wps:bodyPr>
                  </wps:wsp>
                </a:graphicData>
              </a:graphic>
            </wp:anchor>
          </w:drawing>
        </mc:Choice>
        <mc:Fallback>
          <w:pict>
            <v:rect id="文本框 1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vHf27MAQAAkwMAAA4AAABkcnMvZTJvRG9jLnhtbK1TS27bMBDdF8gd&#10;CO5jyW7QuoLloICRoEDRBkh7AJqiLAL8YYa25B6gvUFX3XTfc/kcGerjFMkmi2yoGQ755r3H0eq6&#10;s4YdFKD2ruTzWc6ZctJX2u1K/v3bzeWSM4zCVcJ4p0p+VMiv1xdvVm0o1MI33lQKGIE4LNpQ8ibG&#10;UGQZykZZgTMflKNi7cGKSCnssgpES+jWZIs8f5e1HqoAXipE2t0MRT4iwksAfV1rqTZe7q1ycUAF&#10;ZUQkSdjogHzds61rJePXukYVmSk5KY39Sk0o3qY1W69EsQMRGi1HCuIlFJ5oskI7anqG2ogo2B70&#10;MyirJXj0dZxJb7NBSO8IqZjnT7y5b0RQvRayGsPZdHw9WPnlcAdMVyW/yj+858wJS29++v3r9Off&#10;6e9PNn+bLGoDFnTyPtzBmCGFSW9Xg01fUsK63tbj2VbVRSZpc75cLJc5OS6pNiWEkz1eD4DxVnnL&#10;UlByoHfr7RSHzxiHo9OR1M24tDp/o40ZqmknSzQHYimK3bYb2W59dSSZNPUE3nj4wVlLb15yRyPO&#10;mfnkyNI0HlMAU7CdAuEkXSz5wAvDx32k9j231GzoMHKgt+rVjXOVhuH/vD/1+C+tH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G8d/bswBAACTAwAADgAAAAAAAAABACAAAAAfAQAAZHJzL2Uy&#10;b0RvYy54bWxQSwUGAAAAAAYABgBZAQAAXQUAAAAA&#10;">
              <v:fill on="f" focussize="0,0"/>
              <v:stroke on="f"/>
              <v:imagedata o:title=""/>
              <o:lock v:ext="edit" aspectratio="f"/>
              <v:textbox inset="0mm,0mm,0mm,0mm" style="mso-fit-shape-to-text:t;">
                <w:txbxContent>
                  <w:p w14:paraId="786CC91B">
                    <w:pPr>
                      <w:pStyle w:val="2"/>
                      <w:jc w:val="center"/>
                    </w:pPr>
                    <w:r>
                      <w:rPr>
                        <w:rFonts w:hint="eastAsia" w:ascii="宋体" w:hAnsi="宋体"/>
                        <w:sz w:val="24"/>
                        <w:szCs w:val="24"/>
                      </w:rPr>
                      <w:t xml:space="preserve">— </w:t>
                    </w:r>
                    <w:r>
                      <w:rPr>
                        <w:rFonts w:ascii="宋体" w:hAnsi="宋体"/>
                        <w:sz w:val="24"/>
                        <w:szCs w:val="24"/>
                      </w:rPr>
                      <w:fldChar w:fldCharType="begin"/>
                    </w:r>
                    <w:r>
                      <w:rPr>
                        <w:rFonts w:ascii="宋体" w:hAnsi="宋体"/>
                        <w:sz w:val="24"/>
                        <w:szCs w:val="24"/>
                      </w:rPr>
                      <w:instrText xml:space="preserve">PAGE   \* MERGEFORMAT</w:instrText>
                    </w:r>
                    <w:r>
                      <w:rPr>
                        <w:rFonts w:ascii="宋体" w:hAnsi="宋体"/>
                        <w:sz w:val="24"/>
                        <w:szCs w:val="24"/>
                      </w:rPr>
                      <w:fldChar w:fldCharType="separate"/>
                    </w:r>
                    <w:r>
                      <w:rPr>
                        <w:rFonts w:ascii="宋体" w:hAnsi="宋体"/>
                        <w:sz w:val="24"/>
                        <w:szCs w:val="24"/>
                        <w:lang w:val="zh-CN"/>
                      </w:rPr>
                      <w:t>17</w:t>
                    </w:r>
                    <w:r>
                      <w:rPr>
                        <w:rFonts w:ascii="宋体" w:hAnsi="宋体"/>
                        <w:sz w:val="24"/>
                        <w:szCs w:val="24"/>
                      </w:rPr>
                      <w:fldChar w:fldCharType="end"/>
                    </w:r>
                    <w:r>
                      <w:rPr>
                        <w:rFonts w:hint="eastAsia" w:ascii="宋体" w:hAnsi="宋体"/>
                        <w:sz w:val="24"/>
                        <w:szCs w:val="24"/>
                      </w:rPr>
                      <w:t xml:space="preserve"> —</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02092A"/>
    <w:multiLevelType w:val="singleLevel"/>
    <w:tmpl w:val="FF02092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F21ED0"/>
    <w:rsid w:val="13373B73"/>
    <w:rsid w:val="19F21ED0"/>
    <w:rsid w:val="27E201AF"/>
    <w:rsid w:val="71876A4E"/>
    <w:rsid w:val="7C425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Autospacing="1" w:afterAutospacing="1"/>
      <w:jc w:val="left"/>
    </w:pPr>
    <w:rPr>
      <w:rFonts w:cs="Times New Roman" w:asciiTheme="minorHAnsi" w:hAnsiTheme="minorHAnsi" w:eastAsiaTheme="minorEastAsia"/>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山东省财政厅</Company>
  <Pages>15</Pages>
  <Words>0</Words>
  <Characters>0</Characters>
  <Lines>0</Lines>
  <Paragraphs>0</Paragraphs>
  <TotalTime>999</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2026-09-28T08:26:00Z</dcterms:created>
  <dc:creator>国慧</dc:creator>
  <cp:lastModifiedBy>国慧</cp:lastModifiedBy>
  <dcterms:modified xsi:type="dcterms:W3CDTF">2026-09-30T06:39:49Z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91182C86D06E4087BD3311569E81AEAC_13</vt:lpwstr>
  </property>
</Properties>
</file>