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overflowPunct w:val="0"/>
        <w:spacing w:line="580" w:lineRule="exact"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</w:p>
    <w:p>
      <w:pPr>
        <w:overflowPunct w:val="0"/>
        <w:spacing w:line="580" w:lineRule="exact"/>
        <w:jc w:val="center"/>
        <w:rPr>
          <w:rFonts w:ascii="方正小标宋简体" w:hAnsi="宋体" w:eastAsia="方正小标宋简体" w:cs="宋体"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0"/>
          <w:szCs w:val="40"/>
        </w:rPr>
        <w:t>现代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zh-TW"/>
        </w:rPr>
        <w:t>流通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强</w:t>
      </w:r>
      <w:r>
        <w:rPr>
          <w:rFonts w:hint="eastAsia" w:ascii="方正小标宋简体" w:hAnsi="宋体" w:eastAsia="方正小标宋简体" w:cs="宋体"/>
          <w:bCs/>
          <w:sz w:val="40"/>
          <w:szCs w:val="40"/>
          <w:lang w:val="zh-TW"/>
        </w:rPr>
        <w:t>县</w:t>
      </w:r>
      <w:r>
        <w:rPr>
          <w:rFonts w:hint="eastAsia" w:ascii="方正小标宋简体" w:hAnsi="宋体" w:eastAsia="方正小标宋简体" w:cs="宋体"/>
          <w:bCs/>
          <w:sz w:val="40"/>
          <w:szCs w:val="40"/>
        </w:rPr>
        <w:t>评价指标及测评办法</w:t>
      </w:r>
    </w:p>
    <w:bookmarkEnd w:id="0"/>
    <w:p>
      <w:pPr>
        <w:pStyle w:val="9"/>
        <w:overflowPunct w:val="0"/>
        <w:spacing w:after="0" w:line="580" w:lineRule="exact"/>
        <w:ind w:firstLine="400"/>
        <w:rPr>
          <w:sz w:val="20"/>
          <w:szCs w:val="22"/>
        </w:rPr>
      </w:pPr>
    </w:p>
    <w:p>
      <w:pPr>
        <w:overflowPunct w:val="0"/>
        <w:spacing w:line="58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一、指标设定</w:t>
      </w:r>
    </w:p>
    <w:p>
      <w:pPr>
        <w:overflowPunct w:val="0"/>
        <w:spacing w:line="580" w:lineRule="exact"/>
        <w:ind w:firstLine="640" w:firstLineChars="200"/>
        <w:rPr>
          <w:rFonts w:asci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按照科学合理、客观公正、简便易行的原则，选定流通综合实力、流通网络、流通主体、创新发展等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个一级指标，具体包括17项数据指标和1项“一票否决”指标。</w:t>
      </w:r>
    </w:p>
    <w:p>
      <w:pPr>
        <w:overflowPunct w:val="0"/>
        <w:spacing w:before="240" w:beforeLines="100" w:after="240" w:afterLines="100" w:line="580" w:lineRule="exact"/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现代流通强县认定评选指标体系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8"/>
        <w:gridCol w:w="1032"/>
        <w:gridCol w:w="3616"/>
        <w:gridCol w:w="868"/>
        <w:gridCol w:w="1335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5" w:hRule="atLeast"/>
          <w:tblHeader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一级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指标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二级指标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指标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数据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来源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权重</w:t>
            </w:r>
          </w:p>
          <w:p>
            <w:pPr>
              <w:spacing w:line="300" w:lineRule="exact"/>
              <w:jc w:val="center"/>
              <w:rPr>
                <w:sz w:val="20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（1</w:t>
            </w:r>
            <w:r>
              <w:rPr>
                <w:rFonts w:ascii="黑体" w:hAnsi="黑体" w:eastAsia="黑体" w:cs="黑体"/>
                <w:sz w:val="22"/>
                <w:szCs w:val="22"/>
              </w:rPr>
              <w:t>00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6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0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实力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40%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限额以上社会消费品零售总额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6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03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限额以上社会消费品零售总额增幅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spacing w:line="360" w:lineRule="exact"/>
              <w:ind w:firstLine="62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pStyle w:val="9"/>
              <w:spacing w:after="0" w:line="360" w:lineRule="exact"/>
              <w:ind w:left="59" w:leftChars="28" w:right="53" w:rightChars="25" w:firstLine="0" w:firstLineChars="0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网络零售额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spacing w:line="360" w:lineRule="exact"/>
              <w:ind w:firstLine="620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网络零售额增幅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atLeast"/>
          <w:jc w:val="center"/>
        </w:trPr>
        <w:tc>
          <w:tcPr>
            <w:tcW w:w="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620"/>
              <w:jc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批零住餐业投资总额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6" w:hRule="atLeast"/>
          <w:jc w:val="center"/>
        </w:trPr>
        <w:tc>
          <w:tcPr>
            <w:tcW w:w="5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  <w:tc>
          <w:tcPr>
            <w:tcW w:w="103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批零住餐业投资总额增幅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7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流通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网络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20%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连锁门店数量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atLeast"/>
          <w:jc w:val="center"/>
        </w:trPr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亿元以上商品交易市场数量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atLeast"/>
          <w:jc w:val="center"/>
        </w:trPr>
        <w:tc>
          <w:tcPr>
            <w:tcW w:w="54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9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建制村快递服务覆盖率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省邮政管理局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流通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主体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20%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限额以上批零住餐企业数量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after="0" w:line="360" w:lineRule="exact"/>
              <w:ind w:left="0" w:leftChars="0"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限额以上批零住餐企业数量增幅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省统计局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12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纳统电商企业数量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3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13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纳统电商企业数量增幅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1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14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骨干物流和快递企业数量</w:t>
            </w:r>
          </w:p>
        </w:tc>
        <w:tc>
          <w:tcPr>
            <w:tcW w:w="86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中国物流与采购联合会、省邮政管理局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5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创新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发展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sz w:val="22"/>
                <w:szCs w:val="22"/>
              </w:rPr>
              <w:t>20%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）</w:t>
            </w:r>
          </w:p>
        </w:tc>
        <w:tc>
          <w:tcPr>
            <w:tcW w:w="36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实物商品网络零售额占社会消费品零售总额比重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16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实物商品网络零售额占社会消费品零售总额比重增幅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2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17</w:t>
            </w:r>
          </w:p>
        </w:tc>
        <w:tc>
          <w:tcPr>
            <w:tcW w:w="1032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省级以上流通领域试点数量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正向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08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18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约束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条件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spacing w:line="360" w:lineRule="exact"/>
              <w:ind w:left="59" w:leftChars="28" w:right="53" w:rightChars="25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近三年内发生重大及以上生产安全责任事故、重大产品质量事件、重大及以上突发环境事件、统计数据不实问题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一票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否决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省商务厅、省应急厅、省生态环境厅、省市场监管局、省统计局等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二、指标测算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第1—17项指标按以下步骤进行测算，第18项指标为“一票否决”项。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步骤一：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功效系数法对单个县（市、区）单项指标值进行标准化处理，计算个体分数。计算公式为：</w:t>
      </w:r>
    </w:p>
    <w:p>
      <w:pPr>
        <w:overflowPunct w:val="0"/>
        <w:spacing w:before="120" w:beforeLines="50" w:after="120" w:afterLines="50"/>
        <w:ind w:firstLine="72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m:oMathPara>
        <m:oMath>
          <m:sSub>
            <m:sSubP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sSubPr>
            <m:e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Y</m:t>
              </m: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e>
            <m: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i</m:t>
              </m: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sub>
          </m:sSub>
          <m:r>
            <m:rPr/>
            <w:rPr>
              <w:rFonts w:hint="default" w:ascii="Cambria Math" w:hAnsi="Cambria Math" w:eastAsia="仿宋_GB2312" w:cs="仿宋_GB2312"/>
              <w:color w:val="000000"/>
              <w:sz w:val="36"/>
              <w:szCs w:val="36"/>
            </w:rPr>
            <m:t>=40+</m:t>
          </m:r>
          <m:f>
            <m:fPr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i,min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num>
            <m:den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i,max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r>
                <m:rPr/>
                <w:rPr>
                  <w:rFonts w:hint="default" w:ascii="Cambria Math" w:hAnsi="Cambria Math" w:eastAsia="仿宋_GB2312" w:cs="仿宋_GB2312"/>
                  <w:color w:val="000000"/>
                  <w:sz w:val="36"/>
                  <w:szCs w:val="36"/>
                </w:rPr>
                <m:t>−</m:t>
              </m:r>
              <m:sSub>
                <m:sSubP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SubPr>
                <m:e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X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e>
                <m:sub>
                  <m:r>
                    <m:rPr/>
                    <w:rPr>
                      <w:rFonts w:hint="default" w:ascii="Cambria Math" w:hAnsi="Cambria Math" w:eastAsia="仿宋_GB2312" w:cs="仿宋_GB2312"/>
                      <w:color w:val="000000"/>
                      <w:sz w:val="36"/>
                      <w:szCs w:val="36"/>
                    </w:rPr>
                    <m:t>i,min</m:t>
                  </m:r>
                  <m:ctrlPr>
                    <w:rPr>
                      <w:rFonts w:hint="default" w:ascii="Cambria Math" w:hAnsi="Cambria Math" w:eastAsia="仿宋_GB2312" w:cs="仿宋_GB2312"/>
                      <w:i/>
                      <w:color w:val="000000"/>
                      <w:sz w:val="36"/>
                      <w:szCs w:val="36"/>
                    </w:rPr>
                  </m:ctrlPr>
                </m:sub>
              </m:sSub>
              <m:ctrlPr>
                <w:rPr>
                  <w:rFonts w:hint="default" w:ascii="Cambria Math" w:hAnsi="Cambria Math" w:eastAsia="仿宋_GB2312" w:cs="仿宋_GB2312"/>
                  <w:i/>
                  <w:color w:val="000000"/>
                  <w:sz w:val="36"/>
                  <w:szCs w:val="36"/>
                </w:rPr>
              </m:ctrlPr>
            </m:den>
          </m:f>
          <m:r>
            <m:rPr/>
            <w:rPr>
              <w:rFonts w:hint="default" w:ascii="Cambria Math" w:hAnsi="Cambria Math" w:eastAsia="仿宋_GB2312" w:cs="仿宋_GB2312"/>
              <w:color w:val="000000"/>
              <w:sz w:val="36"/>
              <w:szCs w:val="36"/>
            </w:rPr>
            <m:t>×60</m:t>
          </m:r>
        </m:oMath>
      </m:oMathPara>
    </w:p>
    <w:p>
      <w:pPr>
        <w:overflowPunct w:val="0"/>
        <w:spacing w:line="6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项指标的标准值；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项指标的实际值；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i,max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项指标的各县（市、区）实际值的最大值；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X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i,min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项指标的各县（市、区）实际值的最小值。</w:t>
      </w:r>
    </w:p>
    <w:p>
      <w:pPr>
        <w:spacing w:line="660" w:lineRule="exact"/>
        <w:ind w:firstLine="643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步骤二：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对个体分数进行加权，计算各县（市、区）综合分数。计算公式为：</w:t>
      </w:r>
      <m:oMath>
        <m:r>
          <m:rPr/>
          <w:rPr>
            <w:rFonts w:hint="eastAsia" w:ascii="Cambria Math" w:hAnsi="Cambria Math" w:eastAsia="仿宋_GB2312" w:cs="仿宋_GB2312"/>
            <w:color w:val="000000"/>
            <w:sz w:val="36"/>
            <w:szCs w:val="36"/>
          </w:rPr>
          <m:t>F=</m:t>
        </m:r>
        <m:r>
          <m:rPr>
            <m:sty m:val="p"/>
          </m:rPr>
          <w:rPr>
            <w:rFonts w:hint="eastAsia" w:ascii="Cambria Math" w:hAnsi="Cambria Math" w:eastAsia="仿宋_GB2312" w:cs="仿宋_GB2312"/>
            <w:color w:val="000000"/>
            <w:sz w:val="36"/>
            <w:szCs w:val="36"/>
          </w:rPr>
          <m:t>∑</m:t>
        </m:r>
        <m:sSub>
          <m:sSubPr>
            <m:ctrlPr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  <m:t>W</m:t>
            </m:r>
            <m:ctrlPr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</m:ctrlPr>
          </m:sub>
        </m:sSub>
        <m:sSub>
          <m:sSubPr>
            <m:ctrlPr>
              <w:rPr>
                <w:rFonts w:hint="eastAsia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eastAsia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eastAsia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eastAsia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其中，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F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为该县（市、区）综合分数，</w:t>
      </w:r>
      <m:oMath>
        <m:sSub>
          <m:sSubP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Y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i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为该县（市、区）第</w:t>
      </w:r>
      <m:oMath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项指标的个体分数，</w:t>
      </w:r>
      <m:oMath>
        <m:sSub>
          <m:sSubP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sSubPr>
          <m:e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W</m:t>
            </m: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e>
          <m:sub>
            <m:r>
              <m:rPr/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  <m:t>i</m:t>
            </m:r>
            <m:ctrlPr>
              <w:rPr>
                <w:rFonts w:hint="default" w:ascii="Cambria Math" w:hAnsi="Cambria Math" w:eastAsia="仿宋_GB2312" w:cs="仿宋_GB2312"/>
                <w:color w:val="000000"/>
                <w:sz w:val="36"/>
                <w:szCs w:val="36"/>
              </w:rPr>
            </m:ctrlPr>
          </m:sub>
        </m:sSub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</w:t>
      </w:r>
      <m:oMath>
        <m:r>
          <m:rPr>
            <m:sty m:val="p"/>
          </m:rPr>
          <w:rPr>
            <w:rFonts w:hint="default" w:ascii="Cambria Math" w:hAnsi="Cambria Math" w:eastAsia="仿宋_GB2312"/>
            <w:color w:val="000000"/>
            <w:sz w:val="36"/>
            <w:szCs w:val="36"/>
          </w:rPr>
          <m:t>第</m:t>
        </m:r>
        <m:r>
          <m:rPr/>
          <w:rPr>
            <w:rFonts w:hint="default" w:ascii="Cambria Math" w:hAnsi="Cambria Math" w:eastAsia="仿宋_GB2312" w:cs="仿宋_GB2312"/>
            <w:color w:val="000000"/>
            <w:sz w:val="36"/>
            <w:szCs w:val="36"/>
          </w:rPr>
          <m:t>i</m:t>
        </m:r>
        <m:r>
          <m:rPr>
            <m:sty m:val="p"/>
          </m:rPr>
          <w:rPr>
            <w:rFonts w:hint="default" w:ascii="Cambria Math" w:hAnsi="Cambria Math" w:eastAsia="仿宋_GB2312"/>
            <w:color w:val="000000"/>
            <w:sz w:val="36"/>
            <w:szCs w:val="36"/>
          </w:rPr>
          <m:t>项指标</m:t>
        </m:r>
      </m:oMath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的权重。</w:t>
      </w:r>
    </w:p>
    <w:p>
      <w:pPr>
        <w:spacing w:line="600" w:lineRule="exact"/>
        <w:ind w:firstLine="640" w:firstLineChars="200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三、结果排序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将具有参评资格的县（市、区）按照综合得分高低进行排序，确定现代流通强县名单。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378" w:firstLineChars="135"/>
        <w:rPr>
          <w:rFonts w:hint="eastAsia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18" w:bottom="1871" w:left="153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4"/>
        <w:szCs w:val="24"/>
      </w:rPr>
    </w:pPr>
    <w:r>
      <w:rPr>
        <w:rStyle w:val="8"/>
        <w:rFonts w:hint="eastAsia" w:ascii="宋体" w:hAnsi="宋体"/>
        <w:sz w:val="24"/>
        <w:szCs w:val="24"/>
      </w:rPr>
      <w:t xml:space="preserve">— </w:t>
    </w:r>
    <w:r>
      <w:rPr>
        <w:rFonts w:ascii="宋体" w:hAnsi="宋体"/>
        <w:sz w:val="24"/>
        <w:szCs w:val="24"/>
      </w:rPr>
      <w:fldChar w:fldCharType="begin"/>
    </w:r>
    <w:r>
      <w:rPr>
        <w:rStyle w:val="8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8"/>
        <w:rFonts w:ascii="宋体" w:hAnsi="宋体"/>
        <w:sz w:val="24"/>
        <w:szCs w:val="24"/>
      </w:rPr>
      <w:t>16</w:t>
    </w:r>
    <w:r>
      <w:rPr>
        <w:rFonts w:ascii="宋体" w:hAnsi="宋体"/>
        <w:sz w:val="24"/>
        <w:szCs w:val="24"/>
      </w:rPr>
      <w:fldChar w:fldCharType="end"/>
    </w:r>
    <w:r>
      <w:rPr>
        <w:rStyle w:val="8"/>
        <w:rFonts w:hint="eastAsia" w:ascii="宋体" w:hAnsi="宋体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Yjc4NWJjNmU5MDE5M2JlYTIxMjI3YTcyYzFmNDIifQ=="/>
  </w:docVars>
  <w:rsids>
    <w:rsidRoot w:val="7ED53AB3"/>
    <w:rsid w:val="7ED5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iPriority w:val="0"/>
    <w:pPr>
      <w:ind w:firstLine="420" w:firstLineChars="200"/>
    </w:pPr>
  </w:style>
  <w:style w:type="character" w:styleId="8">
    <w:name w:val="page number"/>
    <w:basedOn w:val="7"/>
    <w:uiPriority w:val="0"/>
  </w:style>
  <w:style w:type="paragraph" w:customStyle="1" w:styleId="9">
    <w:name w:val="正文首行缩进 21"/>
    <w:basedOn w:val="3"/>
    <w:next w:val="1"/>
    <w:qFormat/>
    <w:uiPriority w:val="0"/>
    <w:pPr>
      <w:ind w:firstLine="420" w:firstLineChars="200"/>
    </w:pPr>
    <w:rPr>
      <w:rFonts w:eastAsia="Century Gothi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2022-12-16T10:22:00Z</dcterms:created>
  <dc:creator>善生</dc:creator>
  <cp:lastModifiedBy>善生</cp:lastModifiedBy>
  <dcterms:modified xsi:type="dcterms:W3CDTF">2022-12-16T10:22:47Z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3D6215B9733C40B189153B03E72DC437</vt:lpwstr>
  </property>
</Properties>
</file>