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harts/chart1.xml" ContentType="application/vnd.openxmlformats-officedocument.drawingml.chart+xml"/>
  <Override PartName="/word/charts/colors1.xml" ContentType="application/vnd.ms-office.chartcolorstyle+xml"/>
  <Override PartName="/word/charts/style1.xml" ContentType="application/vnd.ms-office.chartstyl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600" w:lineRule="exact"/>
        <w:jc w:val="center"/>
        <w:rPr>
          <w:rFonts w:hint="eastAsia" w:ascii="方正小标宋简体" w:hAnsi="Arial" w:eastAsia="方正小标宋简体" w:cs="Arial"/>
          <w:color w:val="000000"/>
          <w:kern w:val="0"/>
          <w:sz w:val="44"/>
          <w:szCs w:val="44"/>
        </w:rPr>
      </w:pPr>
      <w:r>
        <w:rPr>
          <w:rFonts w:hint="eastAsia" w:ascii="方正小标宋简体" w:hAnsi="Arial" w:eastAsia="方正小标宋简体" w:cs="Arial"/>
          <w:color w:val="000000"/>
          <w:kern w:val="0"/>
          <w:sz w:val="44"/>
          <w:szCs w:val="44"/>
        </w:rPr>
        <w:t>20</w:t>
      </w:r>
      <w:r>
        <w:rPr>
          <w:rFonts w:hint="eastAsia" w:ascii="方正小标宋简体" w:hAnsi="Arial" w:eastAsia="方正小标宋简体" w:cs="Arial"/>
          <w:color w:val="000000"/>
          <w:kern w:val="0"/>
          <w:sz w:val="44"/>
          <w:szCs w:val="44"/>
          <w:lang w:val="en-US" w:eastAsia="zh-CN"/>
        </w:rPr>
        <w:t>19</w:t>
      </w:r>
      <w:r>
        <w:rPr>
          <w:rFonts w:hint="eastAsia" w:ascii="方正小标宋简体" w:hAnsi="Arial" w:eastAsia="方正小标宋简体" w:cs="Arial"/>
          <w:color w:val="000000"/>
          <w:kern w:val="0"/>
          <w:sz w:val="44"/>
          <w:szCs w:val="44"/>
        </w:rPr>
        <w:t>年省财政厅政府信息公开</w:t>
      </w:r>
    </w:p>
    <w:p>
      <w:pPr>
        <w:widowControl/>
        <w:spacing w:line="600" w:lineRule="exact"/>
        <w:jc w:val="center"/>
        <w:rPr>
          <w:rFonts w:hint="eastAsia" w:ascii="仿宋_GB2312" w:hAnsi="Arial" w:eastAsia="仿宋_GB2312" w:cs="Arial"/>
          <w:color w:val="000000"/>
          <w:kern w:val="0"/>
          <w:sz w:val="22"/>
          <w:szCs w:val="22"/>
        </w:rPr>
      </w:pPr>
      <w:r>
        <w:rPr>
          <w:rFonts w:hint="eastAsia" w:ascii="方正小标宋简体" w:hAnsi="Arial" w:eastAsia="方正小标宋简体" w:cs="Arial"/>
          <w:color w:val="000000"/>
          <w:kern w:val="0"/>
          <w:sz w:val="44"/>
          <w:szCs w:val="44"/>
        </w:rPr>
        <w:t>工作年度报告</w:t>
      </w:r>
    </w:p>
    <w:p>
      <w:pPr>
        <w:widowControl/>
        <w:spacing w:line="543" w:lineRule="atLeast"/>
        <w:ind w:firstLine="435"/>
        <w:jc w:val="left"/>
        <w:rPr>
          <w:rFonts w:hint="eastAsia" w:ascii="仿宋_GB2312" w:hAnsi="Arial" w:eastAsia="仿宋_GB2312" w:cs="Arial"/>
          <w:color w:val="000000"/>
          <w:kern w:val="0"/>
          <w:sz w:val="22"/>
          <w:szCs w:val="22"/>
        </w:rPr>
      </w:pPr>
    </w:p>
    <w:p>
      <w:pPr>
        <w:widowControl/>
        <w:spacing w:line="543" w:lineRule="atLeast"/>
        <w:ind w:firstLine="435"/>
        <w:jc w:val="left"/>
        <w:rPr>
          <w:rFonts w:ascii="Arial" w:hAnsi="Arial" w:cs="Arial"/>
          <w:color w:val="000000"/>
          <w:kern w:val="0"/>
          <w:sz w:val="19"/>
          <w:szCs w:val="19"/>
        </w:rPr>
      </w:pPr>
      <w:r>
        <w:rPr>
          <w:rFonts w:hint="eastAsia" w:ascii="仿宋_GB2312" w:hAnsi="Arial" w:eastAsia="仿宋_GB2312" w:cs="Arial"/>
          <w:color w:val="000000"/>
          <w:kern w:val="0"/>
          <w:sz w:val="22"/>
          <w:szCs w:val="22"/>
        </w:rPr>
        <w:t>本报告根据《中华人民共和国政府信息公开条例》（国务院令第711号，以下简称《条例》）和《山东省政府信息公开办法》（省政府令第225号，以下简称《办法》）编制。报告所列数据统计期限为2019年1月1日至 2019年12月31日。报告可从厅门户网站（http://czt.shandong.gov.cn/）查询。如对本年度报告有任何疑问，请与省财政厅办公室联系（地址：山东省济南市市中区济大路3号；邮编：250002；电话：0531—82669647；传真：0531—82929449；电子邮箱：sdczxxgk</w:t>
      </w:r>
      <w:r>
        <w:rPr>
          <w:color w:val="000000"/>
          <w:kern w:val="0"/>
          <w:sz w:val="22"/>
          <w:szCs w:val="22"/>
        </w:rPr>
        <w:t>@</w:t>
      </w:r>
      <w:r>
        <w:rPr>
          <w:rFonts w:hint="eastAsia" w:ascii="仿宋_GB2312" w:hAnsi="Arial" w:eastAsia="仿宋_GB2312" w:cs="Arial"/>
          <w:color w:val="000000"/>
          <w:kern w:val="0"/>
          <w:sz w:val="22"/>
          <w:szCs w:val="22"/>
        </w:rPr>
        <w:t>163.com）。</w:t>
      </w:r>
    </w:p>
    <w:p>
      <w:pPr>
        <w:widowControl/>
        <w:spacing w:line="543" w:lineRule="atLeast"/>
        <w:ind w:firstLine="435"/>
        <w:jc w:val="left"/>
        <w:rPr>
          <w:rFonts w:ascii="Arial" w:hAnsi="Arial" w:cs="Arial"/>
          <w:color w:val="000000"/>
          <w:kern w:val="0"/>
          <w:sz w:val="19"/>
          <w:szCs w:val="19"/>
        </w:rPr>
      </w:pPr>
      <w:r>
        <w:rPr>
          <w:rFonts w:hint="eastAsia" w:ascii="黑体" w:hAnsi="黑体" w:eastAsia="黑体" w:cs="Arial"/>
          <w:color w:val="000000"/>
          <w:kern w:val="0"/>
          <w:sz w:val="22"/>
          <w:szCs w:val="22"/>
        </w:rPr>
        <w:t>一、总体情况</w:t>
      </w:r>
    </w:p>
    <w:p>
      <w:pPr>
        <w:widowControl/>
        <w:spacing w:line="543" w:lineRule="atLeast"/>
        <w:ind w:firstLine="435"/>
        <w:jc w:val="left"/>
        <w:rPr>
          <w:rFonts w:ascii="Arial" w:hAnsi="Arial" w:cs="Arial"/>
          <w:color w:val="000000"/>
          <w:kern w:val="0"/>
          <w:sz w:val="19"/>
          <w:szCs w:val="19"/>
        </w:rPr>
      </w:pPr>
      <w:r>
        <w:rPr>
          <w:rFonts w:hint="eastAsia" w:ascii="仿宋_GB2312" w:hAnsi="Arial" w:eastAsia="仿宋_GB2312" w:cs="Arial"/>
          <w:color w:val="000000"/>
          <w:kern w:val="0"/>
          <w:sz w:val="22"/>
          <w:szCs w:val="22"/>
        </w:rPr>
        <w:t>2019年，省财政厅以习近平新时代中国特色社会主义思想为指导，深入学习贯彻党的十九大和十九届二中、三中、四中全会精神，认真落实省政府关于推进政务公开工作的部署要求，坚持“以公开为常态，不公开为例外”工作理念，持续做好信息发布、解读回应、政民互动、平台建设，充分保障了人民群众知情权、参与权、表达权、监督权。在马洪基金会组织的政府政务公开评选中，山东省获金秤砣奖。其中，财政民生支出作为评选的重要指标，得到充分肯定。</w:t>
      </w:r>
    </w:p>
    <w:p>
      <w:pPr>
        <w:widowControl/>
        <w:spacing w:line="543" w:lineRule="atLeast"/>
        <w:ind w:firstLine="435"/>
        <w:jc w:val="left"/>
        <w:rPr>
          <w:rFonts w:ascii="Arial" w:hAnsi="Arial" w:cs="Arial"/>
          <w:color w:val="000000"/>
          <w:kern w:val="0"/>
          <w:sz w:val="19"/>
          <w:szCs w:val="19"/>
        </w:rPr>
      </w:pPr>
      <w:r>
        <w:rPr>
          <w:rFonts w:hint="eastAsia" w:ascii="楷体_GB2312" w:hAnsi="Arial" w:eastAsia="楷体_GB2312" w:cs="Arial"/>
          <w:b/>
          <w:bCs/>
          <w:color w:val="000000"/>
          <w:kern w:val="0"/>
          <w:sz w:val="22"/>
        </w:rPr>
        <w:t>（一）围绕中心工作主动公开</w:t>
      </w:r>
      <w:r>
        <w:rPr>
          <w:rFonts w:hint="eastAsia" w:ascii="仿宋_GB2312" w:hAnsi="Arial" w:eastAsia="仿宋_GB2312" w:cs="Arial"/>
          <w:b/>
          <w:bCs/>
          <w:color w:val="000000"/>
          <w:kern w:val="0"/>
          <w:sz w:val="22"/>
        </w:rPr>
        <w:t>。</w:t>
      </w:r>
      <w:r>
        <w:rPr>
          <w:rFonts w:hint="eastAsia" w:ascii="仿宋_GB2312" w:hAnsi="Arial" w:eastAsia="仿宋_GB2312" w:cs="Arial"/>
          <w:color w:val="000000"/>
          <w:kern w:val="0"/>
          <w:sz w:val="22"/>
          <w:szCs w:val="22"/>
        </w:rPr>
        <w:t>秉持“以公开为常态，不公开为例外”的工作理念，通过厅门户网站、“两微一端”等新媒体，主动发布财政信息，不断提升财政透明度。全年通过厅门户网站公开各类信息6100余条，借力财政部门户网站“地方新闻联播栏目”发布财政新闻2000余条。将“五公开”纳入办文办会程序，落实属性源头认定机制的政策文件比例、厅长办公会议题公开率均达到100%。</w:t>
      </w:r>
    </w:p>
    <w:p>
      <w:pPr>
        <w:widowControl/>
        <w:spacing w:line="543" w:lineRule="atLeast"/>
        <w:ind w:firstLine="435"/>
        <w:jc w:val="left"/>
        <w:rPr>
          <w:rFonts w:ascii="Arial" w:hAnsi="Arial" w:cs="Arial"/>
          <w:color w:val="000000"/>
          <w:kern w:val="0"/>
          <w:sz w:val="19"/>
          <w:szCs w:val="19"/>
        </w:rPr>
      </w:pPr>
      <w:r>
        <w:rPr>
          <w:rFonts w:hint="eastAsia" w:ascii="楷体_GB2312" w:hAnsi="Arial" w:eastAsia="楷体_GB2312" w:cs="Arial"/>
          <w:b/>
          <w:bCs/>
          <w:color w:val="000000"/>
          <w:kern w:val="0"/>
          <w:sz w:val="22"/>
        </w:rPr>
        <w:t>（二）围绕重点领域深度公开</w:t>
      </w:r>
      <w:r>
        <w:rPr>
          <w:rFonts w:hint="eastAsia" w:ascii="仿宋_GB2312" w:hAnsi="Arial" w:eastAsia="仿宋_GB2312" w:cs="Arial"/>
          <w:b/>
          <w:bCs/>
          <w:color w:val="000000"/>
          <w:kern w:val="0"/>
          <w:sz w:val="22"/>
        </w:rPr>
        <w:t>。</w:t>
      </w:r>
      <w:r>
        <w:rPr>
          <w:rFonts w:hint="eastAsia" w:ascii="仿宋_GB2312" w:hAnsi="Arial" w:eastAsia="仿宋_GB2312" w:cs="Arial"/>
          <w:color w:val="000000"/>
          <w:kern w:val="0"/>
          <w:sz w:val="22"/>
          <w:szCs w:val="22"/>
        </w:rPr>
        <w:t>在厅门户网站设立“财政预决算”“减税降费”“财政扶贫政策”等8个专栏，持续深入推进重点领域信息公开，不断增强公开实效。2019年创新谋划公开了四个方面的财政信息。</w:t>
      </w:r>
    </w:p>
    <w:p>
      <w:pPr>
        <w:widowControl/>
        <w:spacing w:line="543" w:lineRule="atLeast"/>
        <w:ind w:firstLine="435"/>
        <w:jc w:val="left"/>
        <w:rPr>
          <w:rFonts w:hint="eastAsia" w:ascii="仿宋_GB2312" w:hAnsi="Arial" w:eastAsia="仿宋_GB2312" w:cs="Arial"/>
          <w:color w:val="000000"/>
          <w:kern w:val="0"/>
          <w:sz w:val="22"/>
          <w:szCs w:val="22"/>
        </w:rPr>
      </w:pPr>
      <w:r>
        <w:rPr>
          <w:rFonts w:hint="eastAsia" w:ascii="仿宋_GB2312" w:hAnsi="Arial" w:eastAsia="仿宋_GB2312" w:cs="Arial"/>
          <w:color w:val="000000"/>
          <w:kern w:val="0"/>
          <w:sz w:val="22"/>
          <w:szCs w:val="22"/>
        </w:rPr>
        <w:t>1.公开减税降费政策信息。将“漫灌式”宣传和“滴灌式”辅导相结合，建立政策宣传多式互联制度，借助报刊、网络等渠道策划减税降费专题宣传，编写重点减税降费政策汇编，制定惠民利企政策清单，扩大政策知晓面。组建减税降费咨询服务团队，为纳税人提供“一对一”服务，现场解答政策问题，现场辅导办税操作，实施错峰预约，解决申报拥堵、等待时间长的难题。</w:t>
      </w:r>
    </w:p>
    <w:p>
      <w:pPr>
        <w:widowControl/>
        <w:spacing w:line="543" w:lineRule="atLeast"/>
        <w:ind w:firstLine="435"/>
        <w:jc w:val="left"/>
        <w:rPr>
          <w:rFonts w:hint="eastAsia" w:ascii="仿宋_GB2312" w:hAnsi="Arial" w:eastAsia="仿宋_GB2312" w:cs="Arial"/>
          <w:color w:val="000000"/>
          <w:kern w:val="0"/>
          <w:sz w:val="22"/>
          <w:szCs w:val="22"/>
        </w:rPr>
      </w:pP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92710</wp:posOffset>
            </wp:positionH>
            <wp:positionV relativeFrom="paragraph">
              <wp:posOffset>133350</wp:posOffset>
            </wp:positionV>
            <wp:extent cx="5140960" cy="2891790"/>
            <wp:effectExtent l="9525" t="9525" r="9525" b="13335"/>
            <wp:wrapNone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0960" cy="289179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1F497D">
                          <a:lumMod val="40000"/>
                          <a:lumOff val="6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>
      <w:pPr>
        <w:widowControl/>
        <w:spacing w:line="543" w:lineRule="atLeast"/>
        <w:ind w:firstLine="435"/>
        <w:jc w:val="left"/>
        <w:rPr>
          <w:rFonts w:hint="eastAsia" w:ascii="仿宋_GB2312" w:hAnsi="Arial" w:eastAsia="仿宋_GB2312" w:cs="Arial"/>
          <w:color w:val="000000"/>
          <w:kern w:val="0"/>
          <w:sz w:val="22"/>
          <w:szCs w:val="22"/>
        </w:rPr>
      </w:pPr>
    </w:p>
    <w:p>
      <w:pPr>
        <w:widowControl/>
        <w:spacing w:line="543" w:lineRule="atLeast"/>
        <w:ind w:firstLine="435"/>
        <w:jc w:val="left"/>
        <w:rPr>
          <w:rFonts w:hint="eastAsia" w:ascii="仿宋_GB2312" w:hAnsi="Arial" w:eastAsia="仿宋_GB2312" w:cs="Arial"/>
          <w:color w:val="000000"/>
          <w:kern w:val="0"/>
          <w:sz w:val="22"/>
          <w:szCs w:val="22"/>
        </w:rPr>
      </w:pPr>
    </w:p>
    <w:p>
      <w:pPr>
        <w:widowControl/>
        <w:spacing w:line="543" w:lineRule="atLeast"/>
        <w:ind w:firstLine="435"/>
        <w:jc w:val="left"/>
        <w:rPr>
          <w:rFonts w:hint="eastAsia" w:ascii="仿宋_GB2312" w:hAnsi="Arial" w:eastAsia="仿宋_GB2312" w:cs="Arial"/>
          <w:color w:val="000000"/>
          <w:kern w:val="0"/>
          <w:sz w:val="22"/>
          <w:szCs w:val="22"/>
        </w:rPr>
      </w:pPr>
    </w:p>
    <w:p>
      <w:pPr>
        <w:widowControl/>
        <w:spacing w:line="543" w:lineRule="atLeast"/>
        <w:ind w:firstLine="435"/>
        <w:jc w:val="left"/>
        <w:rPr>
          <w:rFonts w:hint="eastAsia" w:ascii="仿宋_GB2312" w:hAnsi="Arial" w:eastAsia="仿宋_GB2312" w:cs="Arial"/>
          <w:color w:val="000000"/>
          <w:kern w:val="0"/>
          <w:sz w:val="22"/>
          <w:szCs w:val="22"/>
        </w:rPr>
      </w:pPr>
    </w:p>
    <w:p>
      <w:pPr>
        <w:widowControl/>
        <w:spacing w:line="543" w:lineRule="atLeast"/>
        <w:ind w:firstLine="435"/>
        <w:jc w:val="left"/>
        <w:rPr>
          <w:rFonts w:hint="eastAsia" w:ascii="仿宋_GB2312" w:hAnsi="Arial" w:eastAsia="仿宋_GB2312" w:cs="Arial"/>
          <w:color w:val="000000"/>
          <w:kern w:val="0"/>
          <w:sz w:val="22"/>
          <w:szCs w:val="22"/>
        </w:rPr>
      </w:pPr>
    </w:p>
    <w:p>
      <w:pPr>
        <w:widowControl/>
        <w:spacing w:line="543" w:lineRule="atLeast"/>
        <w:ind w:firstLine="435"/>
        <w:jc w:val="left"/>
        <w:rPr>
          <w:rFonts w:hint="eastAsia" w:ascii="仿宋_GB2312" w:hAnsi="Arial" w:eastAsia="仿宋_GB2312" w:cs="Arial"/>
          <w:color w:val="000000"/>
          <w:kern w:val="0"/>
          <w:sz w:val="22"/>
          <w:szCs w:val="22"/>
        </w:rPr>
      </w:pPr>
    </w:p>
    <w:p>
      <w:pPr>
        <w:widowControl/>
        <w:spacing w:line="543" w:lineRule="atLeast"/>
        <w:ind w:firstLine="435"/>
        <w:jc w:val="left"/>
        <w:rPr>
          <w:rFonts w:hint="eastAsia" w:ascii="仿宋_GB2312" w:hAnsi="Arial" w:eastAsia="仿宋_GB2312" w:cs="Arial"/>
          <w:color w:val="000000"/>
          <w:kern w:val="0"/>
          <w:sz w:val="22"/>
          <w:szCs w:val="22"/>
        </w:rPr>
      </w:pPr>
    </w:p>
    <w:p>
      <w:pPr>
        <w:widowControl/>
        <w:spacing w:line="543" w:lineRule="atLeast"/>
        <w:ind w:firstLine="435"/>
        <w:jc w:val="left"/>
        <w:rPr>
          <w:rFonts w:hint="eastAsia" w:ascii="仿宋_GB2312" w:hAnsi="Arial" w:eastAsia="仿宋_GB2312" w:cs="Arial"/>
          <w:color w:val="000000"/>
          <w:kern w:val="0"/>
          <w:sz w:val="22"/>
          <w:szCs w:val="22"/>
        </w:rPr>
      </w:pPr>
    </w:p>
    <w:p>
      <w:pPr>
        <w:widowControl/>
        <w:spacing w:line="543" w:lineRule="atLeast"/>
        <w:ind w:firstLine="435"/>
        <w:jc w:val="left"/>
        <w:rPr>
          <w:rFonts w:hint="eastAsia" w:ascii="仿宋_GB2312" w:hAnsi="Arial" w:eastAsia="仿宋_GB2312" w:cs="Arial"/>
          <w:color w:val="000000"/>
          <w:kern w:val="0"/>
          <w:sz w:val="22"/>
          <w:szCs w:val="22"/>
        </w:r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2370455</wp:posOffset>
            </wp:positionH>
            <wp:positionV relativeFrom="paragraph">
              <wp:posOffset>134620</wp:posOffset>
            </wp:positionV>
            <wp:extent cx="2861945" cy="1981200"/>
            <wp:effectExtent l="9525" t="9525" r="10795" b="17145"/>
            <wp:wrapNone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09" t="12024" r="28861" b="34269"/>
                    <a:stretch>
                      <a:fillRect/>
                    </a:stretch>
                  </pic:blipFill>
                  <pic:spPr>
                    <a:xfrm>
                      <a:off x="0" y="0"/>
                      <a:ext cx="2861945" cy="19812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1F497D">
                          <a:lumMod val="40000"/>
                          <a:lumOff val="6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88265</wp:posOffset>
            </wp:positionH>
            <wp:positionV relativeFrom="paragraph">
              <wp:posOffset>158750</wp:posOffset>
            </wp:positionV>
            <wp:extent cx="1967230" cy="1971040"/>
            <wp:effectExtent l="9525" t="9525" r="9525" b="16510"/>
            <wp:wrapNone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67" t="9323" r="26742" b="6462"/>
                    <a:stretch>
                      <a:fillRect/>
                    </a:stretch>
                  </pic:blipFill>
                  <pic:spPr>
                    <a:xfrm>
                      <a:off x="0" y="0"/>
                      <a:ext cx="1967230" cy="197104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1F497D">
                          <a:lumMod val="40000"/>
                          <a:lumOff val="6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>
      <w:pPr>
        <w:widowControl/>
        <w:spacing w:line="543" w:lineRule="atLeast"/>
        <w:ind w:firstLine="435"/>
        <w:jc w:val="left"/>
        <w:rPr>
          <w:rFonts w:hint="eastAsia" w:ascii="仿宋_GB2312" w:hAnsi="Arial" w:eastAsia="仿宋_GB2312" w:cs="Arial"/>
          <w:color w:val="000000"/>
          <w:kern w:val="0"/>
          <w:sz w:val="22"/>
          <w:szCs w:val="22"/>
        </w:rPr>
      </w:pPr>
    </w:p>
    <w:p>
      <w:pPr>
        <w:widowControl/>
        <w:spacing w:line="543" w:lineRule="atLeast"/>
        <w:ind w:firstLine="435"/>
        <w:jc w:val="left"/>
        <w:rPr>
          <w:rFonts w:hint="eastAsia" w:ascii="仿宋_GB2312" w:hAnsi="Arial" w:eastAsia="仿宋_GB2312" w:cs="Arial"/>
          <w:color w:val="000000"/>
          <w:kern w:val="0"/>
          <w:sz w:val="22"/>
          <w:szCs w:val="22"/>
        </w:rPr>
      </w:pPr>
    </w:p>
    <w:p>
      <w:pPr>
        <w:widowControl/>
        <w:spacing w:line="543" w:lineRule="atLeast"/>
        <w:ind w:firstLine="435"/>
        <w:jc w:val="left"/>
        <w:rPr>
          <w:rFonts w:hint="eastAsia" w:ascii="仿宋_GB2312" w:hAnsi="Arial" w:eastAsia="仿宋_GB2312" w:cs="Arial"/>
          <w:color w:val="000000"/>
          <w:kern w:val="0"/>
          <w:sz w:val="22"/>
          <w:szCs w:val="22"/>
        </w:rPr>
      </w:pPr>
    </w:p>
    <w:p>
      <w:pPr>
        <w:widowControl/>
        <w:spacing w:line="543" w:lineRule="atLeast"/>
        <w:ind w:firstLine="435"/>
        <w:jc w:val="left"/>
        <w:rPr>
          <w:rFonts w:hint="eastAsia" w:ascii="仿宋_GB2312" w:hAnsi="Arial" w:eastAsia="仿宋_GB2312" w:cs="Arial"/>
          <w:color w:val="000000"/>
          <w:kern w:val="0"/>
          <w:sz w:val="22"/>
          <w:szCs w:val="22"/>
        </w:rPr>
      </w:pPr>
    </w:p>
    <w:p>
      <w:pPr>
        <w:widowControl/>
        <w:spacing w:line="543" w:lineRule="atLeast"/>
        <w:ind w:firstLine="435"/>
        <w:jc w:val="left"/>
        <w:rPr>
          <w:rFonts w:hint="eastAsia" w:ascii="仿宋_GB2312" w:hAnsi="Arial" w:eastAsia="仿宋_GB2312" w:cs="Arial"/>
          <w:color w:val="000000"/>
          <w:kern w:val="0"/>
          <w:sz w:val="22"/>
          <w:szCs w:val="22"/>
        </w:rPr>
      </w:pPr>
    </w:p>
    <w:p>
      <w:pPr>
        <w:widowControl/>
        <w:spacing w:line="543" w:lineRule="atLeast"/>
        <w:ind w:firstLine="435"/>
        <w:jc w:val="left"/>
        <w:rPr>
          <w:rFonts w:ascii="Arial" w:hAnsi="Arial" w:cs="Arial"/>
          <w:color w:val="000000"/>
          <w:kern w:val="0"/>
          <w:sz w:val="19"/>
          <w:szCs w:val="19"/>
        </w:rPr>
      </w:pPr>
      <w:r>
        <w:rPr>
          <w:rFonts w:hint="eastAsia" w:ascii="仿宋_GB2312" w:hAnsi="Arial" w:eastAsia="仿宋_GB2312" w:cs="Arial"/>
          <w:color w:val="000000"/>
          <w:kern w:val="0"/>
          <w:sz w:val="22"/>
          <w:szCs w:val="22"/>
        </w:rPr>
        <w:t>2.公开预算绩效信息。通过厅门户网站主动向社会公开了61个省财政重点支出项目绩效评价报告，是省财政厅连续第三年公开财政重点项目绩效评价结果。组织113个省级预算部门全部公开了绩效目标管理情况，绩效信息公开的部门数量和专项资金规模较去年大幅提升。组织64个部门公开了70个重点项目的绩效评价结果。</w:t>
      </w:r>
    </w:p>
    <w:p>
      <w:pPr>
        <w:widowControl/>
        <w:spacing w:line="543" w:lineRule="atLeast"/>
        <w:ind w:firstLine="435"/>
        <w:jc w:val="left"/>
        <w:rPr>
          <w:rFonts w:hint="eastAsia" w:ascii="仿宋_GB2312" w:hAnsi="Arial" w:eastAsia="仿宋_GB2312" w:cs="Arial"/>
          <w:color w:val="000000"/>
          <w:kern w:val="0"/>
          <w:sz w:val="22"/>
          <w:szCs w:val="22"/>
        </w:rPr>
      </w:pPr>
      <w:r>
        <w:rPr>
          <w:rFonts w:hint="eastAsia" w:ascii="仿宋_GB2312" w:hAnsi="Arial" w:eastAsia="仿宋_GB2312" w:cs="Arial"/>
          <w:color w:val="000000"/>
          <w:kern w:val="0"/>
          <w:sz w:val="22"/>
          <w:szCs w:val="22"/>
        </w:rPr>
        <w:t>3.举办基金项目推介会。启动新旧动能转换基金进基层“双基”对接活动，先后举办9场基金项目推介会，为新旧动能转换基金与相关市的重点项目牵线搭桥。集中推介优质项目402个，达成意向投资131个，基金投资额234亿元，实现基金投资与项目发展双赢。</w:t>
      </w:r>
    </w:p>
    <w:p>
      <w:pPr>
        <w:widowControl/>
        <w:spacing w:line="543" w:lineRule="atLeast"/>
        <w:ind w:firstLine="435"/>
        <w:jc w:val="left"/>
        <w:rPr>
          <w:rFonts w:hint="eastAsia" w:ascii="仿宋_GB2312" w:hAnsi="Arial" w:eastAsia="仿宋_GB2312" w:cs="Arial"/>
          <w:color w:val="000000"/>
          <w:kern w:val="0"/>
          <w:sz w:val="22"/>
          <w:szCs w:val="22"/>
        </w:rPr>
      </w:pPr>
      <w:r>
        <w:rPr>
          <w:rFonts w:hint="eastAsia" w:ascii="仿宋_GB2312" w:hAnsi="Arial" w:eastAsia="仿宋_GB2312" w:cs="Arial"/>
          <w:color w:val="000000"/>
          <w:kern w:val="0"/>
          <w:sz w:val="22"/>
          <w:szCs w:val="2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2690495</wp:posOffset>
            </wp:positionH>
            <wp:positionV relativeFrom="paragraph">
              <wp:posOffset>128270</wp:posOffset>
            </wp:positionV>
            <wp:extent cx="2327910" cy="1551940"/>
            <wp:effectExtent l="9525" t="9525" r="15875" b="14605"/>
            <wp:wrapSquare wrapText="bothSides"/>
            <wp:docPr id="53" name="图片 53" descr="360f622db8e5b099dde954046473c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360f622db8e5b099dde954046473c5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7910" cy="155194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1F497D">
                          <a:lumMod val="40000"/>
                          <a:lumOff val="6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Arial" w:eastAsia="仿宋_GB2312" w:cs="Arial"/>
          <w:color w:val="000000"/>
          <w:kern w:val="0"/>
          <w:sz w:val="22"/>
          <w:szCs w:val="2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138430</wp:posOffset>
            </wp:positionV>
            <wp:extent cx="2286000" cy="1541145"/>
            <wp:effectExtent l="9525" t="9525" r="14605" b="14605"/>
            <wp:wrapSquare wrapText="bothSides"/>
            <wp:docPr id="54" name="图片 54" descr="48553b8fe0a517368a20bae87fa00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48553b8fe0a517368a20bae87fa00ca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4114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1F497D">
                          <a:lumMod val="40000"/>
                          <a:lumOff val="6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>
      <w:pPr>
        <w:widowControl/>
        <w:numPr>
          <w:ilvl w:val="0"/>
          <w:numId w:val="1"/>
        </w:numPr>
        <w:spacing w:line="543" w:lineRule="atLeast"/>
        <w:ind w:firstLine="435"/>
        <w:jc w:val="left"/>
        <w:rPr>
          <w:rFonts w:hint="eastAsia" w:ascii="仿宋_GB2312" w:hAnsi="Arial" w:eastAsia="仿宋_GB2312" w:cs="Arial"/>
          <w:color w:val="000000"/>
          <w:kern w:val="0"/>
          <w:sz w:val="22"/>
          <w:szCs w:val="22"/>
        </w:rPr>
      </w:pPr>
      <w:r>
        <w:rPr>
          <w:rFonts w:hint="eastAsia" w:ascii="仿宋_GB2312" w:hAnsi="Arial" w:eastAsia="仿宋_GB2312" w:cs="Arial"/>
          <w:color w:val="000000"/>
          <w:kern w:val="0"/>
          <w:sz w:val="22"/>
          <w:szCs w:val="2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2738755</wp:posOffset>
            </wp:positionH>
            <wp:positionV relativeFrom="paragraph">
              <wp:posOffset>-256540</wp:posOffset>
            </wp:positionV>
            <wp:extent cx="2264410" cy="1509395"/>
            <wp:effectExtent l="9525" t="9525" r="14605" b="13970"/>
            <wp:wrapSquare wrapText="bothSides"/>
            <wp:docPr id="51" name="图片 51" descr="efd3736215ebd820a463dd759a60f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efd3736215ebd820a463dd759a60f9e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4410" cy="150939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1F497D">
                          <a:lumMod val="40000"/>
                          <a:lumOff val="6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Arial" w:eastAsia="仿宋_GB2312" w:cs="Arial"/>
          <w:color w:val="000000"/>
          <w:kern w:val="0"/>
          <w:sz w:val="22"/>
          <w:szCs w:val="2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200660</wp:posOffset>
            </wp:positionH>
            <wp:positionV relativeFrom="paragraph">
              <wp:posOffset>-265430</wp:posOffset>
            </wp:positionV>
            <wp:extent cx="2275205" cy="1517015"/>
            <wp:effectExtent l="9525" t="9525" r="14605" b="17145"/>
            <wp:wrapSquare wrapText="bothSides"/>
            <wp:docPr id="52" name="图片 52" descr="68638d90c64d9b8b56f5de1e30f0f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68638d90c64d9b8b56f5de1e30f0f4a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205" cy="151701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1F497D">
                          <a:lumMod val="40000"/>
                          <a:lumOff val="6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Arial" w:eastAsia="仿宋_GB2312" w:cs="Arial"/>
          <w:color w:val="000000"/>
          <w:kern w:val="0"/>
          <w:sz w:val="22"/>
          <w:szCs w:val="22"/>
        </w:rPr>
        <w:t>围绕政务公开要点发布重磅新闻。全年多渠道发布反映山东财政改革发展的宣传报道2256篇。其中，《人民日报》刊发《公共产品吃香+社会资本抢滩 PPP正在山东蓬勃发展》；《经济日报》头版刊发《山东激励金融机构支持小微》《激励金融机构助推经济发展山东财政创新机制积极作为》；《中国财经报》头版头条刊发《用流程再造“砸实”制度创新——山东省财政推出4+11工作流程再造体系打造优质高效便捷政务环境》《部门市县有了更大决策权自主权——山东实施省级预算管理和省以下财政管理体制改革》《山东建立预算绩效管理“1+2”制度框架》《山东“三推进”促脱贫攻坚与乡村振兴融合》《山东扎实落实县级“三保”》《山东“六到位”确保减税降费落地开花》《山东开启“智慧财政”新时代》，对山东财政改革起到了有力的宣传推动作用。</w:t>
      </w:r>
    </w:p>
    <w:p>
      <w:pPr>
        <w:widowControl/>
        <w:numPr>
          <w:ilvl w:val="0"/>
          <w:numId w:val="0"/>
        </w:numPr>
        <w:spacing w:line="543" w:lineRule="atLeast"/>
        <w:jc w:val="left"/>
        <w:rPr>
          <w:rFonts w:hint="eastAsia" w:ascii="仿宋_GB2312" w:hAnsi="Arial" w:eastAsia="仿宋_GB2312" w:cs="Arial"/>
          <w:color w:val="000000"/>
          <w:kern w:val="0"/>
          <w:sz w:val="22"/>
          <w:szCs w:val="22"/>
        </w:rPr>
      </w:pPr>
    </w:p>
    <w:p>
      <w:pPr>
        <w:widowControl/>
        <w:numPr>
          <w:ilvl w:val="0"/>
          <w:numId w:val="0"/>
        </w:numPr>
        <w:spacing w:line="543" w:lineRule="atLeast"/>
        <w:jc w:val="left"/>
        <w:rPr>
          <w:rFonts w:hint="eastAsia" w:ascii="仿宋_GB2312" w:hAnsi="Arial" w:eastAsia="仿宋_GB2312" w:cs="Arial"/>
          <w:color w:val="000000"/>
          <w:kern w:val="0"/>
          <w:sz w:val="22"/>
          <w:szCs w:val="22"/>
        </w:rPr>
      </w:pPr>
    </w:p>
    <w:p>
      <w:pPr>
        <w:widowControl/>
        <w:numPr>
          <w:ilvl w:val="0"/>
          <w:numId w:val="0"/>
        </w:numPr>
        <w:spacing w:line="543" w:lineRule="atLeast"/>
        <w:jc w:val="left"/>
        <w:rPr>
          <w:rFonts w:hint="eastAsia" w:ascii="仿宋_GB2312" w:hAnsi="Arial" w:eastAsia="仿宋_GB2312" w:cs="Arial"/>
          <w:color w:val="000000"/>
          <w:kern w:val="0"/>
          <w:sz w:val="22"/>
          <w:szCs w:val="22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-111760</wp:posOffset>
            </wp:positionH>
            <wp:positionV relativeFrom="paragraph">
              <wp:posOffset>233680</wp:posOffset>
            </wp:positionV>
            <wp:extent cx="3039745" cy="2520950"/>
            <wp:effectExtent l="9525" t="9525" r="16510" b="17145"/>
            <wp:wrapNone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9745" cy="25209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1F497D">
                          <a:lumMod val="40000"/>
                          <a:lumOff val="6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3150235</wp:posOffset>
            </wp:positionH>
            <wp:positionV relativeFrom="paragraph">
              <wp:posOffset>209550</wp:posOffset>
            </wp:positionV>
            <wp:extent cx="2402205" cy="2588260"/>
            <wp:effectExtent l="9525" t="9525" r="17145" b="14605"/>
            <wp:wrapNone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205" cy="258826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1F497D">
                          <a:lumMod val="40000"/>
                          <a:lumOff val="6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>
      <w:pPr>
        <w:widowControl/>
        <w:numPr>
          <w:ilvl w:val="0"/>
          <w:numId w:val="0"/>
        </w:numPr>
        <w:spacing w:line="543" w:lineRule="atLeast"/>
        <w:jc w:val="left"/>
        <w:rPr>
          <w:rFonts w:hint="eastAsia" w:ascii="仿宋_GB2312" w:hAnsi="Arial" w:eastAsia="仿宋_GB2312" w:cs="Arial"/>
          <w:color w:val="000000"/>
          <w:kern w:val="0"/>
          <w:sz w:val="22"/>
          <w:szCs w:val="22"/>
        </w:rPr>
      </w:pPr>
    </w:p>
    <w:p>
      <w:pPr>
        <w:widowControl/>
        <w:numPr>
          <w:ilvl w:val="0"/>
          <w:numId w:val="0"/>
        </w:numPr>
        <w:spacing w:line="543" w:lineRule="atLeast"/>
        <w:jc w:val="left"/>
        <w:rPr>
          <w:rFonts w:hint="eastAsia" w:ascii="仿宋_GB2312" w:hAnsi="Arial" w:eastAsia="仿宋_GB2312" w:cs="Arial"/>
          <w:color w:val="000000"/>
          <w:kern w:val="0"/>
          <w:sz w:val="22"/>
          <w:szCs w:val="22"/>
        </w:rPr>
      </w:pPr>
    </w:p>
    <w:p>
      <w:pPr>
        <w:widowControl/>
        <w:numPr>
          <w:ilvl w:val="0"/>
          <w:numId w:val="0"/>
        </w:numPr>
        <w:spacing w:line="543" w:lineRule="atLeast"/>
        <w:jc w:val="left"/>
        <w:rPr>
          <w:rFonts w:hint="eastAsia" w:ascii="仿宋_GB2312" w:hAnsi="Arial" w:eastAsia="仿宋_GB2312" w:cs="Arial"/>
          <w:color w:val="000000"/>
          <w:kern w:val="0"/>
          <w:sz w:val="22"/>
          <w:szCs w:val="22"/>
        </w:rPr>
      </w:pPr>
    </w:p>
    <w:p>
      <w:pPr>
        <w:widowControl/>
        <w:numPr>
          <w:ilvl w:val="0"/>
          <w:numId w:val="0"/>
        </w:numPr>
        <w:spacing w:line="543" w:lineRule="atLeast"/>
        <w:jc w:val="left"/>
        <w:rPr>
          <w:rFonts w:hint="eastAsia" w:ascii="仿宋_GB2312" w:hAnsi="Arial" w:eastAsia="仿宋_GB2312" w:cs="Arial"/>
          <w:color w:val="000000"/>
          <w:kern w:val="0"/>
          <w:sz w:val="22"/>
          <w:szCs w:val="22"/>
        </w:rPr>
      </w:pPr>
    </w:p>
    <w:p>
      <w:pPr>
        <w:widowControl/>
        <w:numPr>
          <w:ilvl w:val="0"/>
          <w:numId w:val="0"/>
        </w:numPr>
        <w:spacing w:line="543" w:lineRule="atLeast"/>
        <w:jc w:val="left"/>
        <w:rPr>
          <w:rFonts w:hint="eastAsia" w:ascii="仿宋_GB2312" w:hAnsi="Arial" w:eastAsia="仿宋_GB2312" w:cs="Arial"/>
          <w:color w:val="000000"/>
          <w:kern w:val="0"/>
          <w:sz w:val="22"/>
          <w:szCs w:val="22"/>
        </w:rPr>
      </w:pPr>
    </w:p>
    <w:p>
      <w:pPr>
        <w:widowControl/>
        <w:numPr>
          <w:ilvl w:val="0"/>
          <w:numId w:val="0"/>
        </w:numPr>
        <w:spacing w:line="543" w:lineRule="atLeast"/>
        <w:jc w:val="left"/>
        <w:rPr>
          <w:rFonts w:hint="eastAsia" w:ascii="仿宋_GB2312" w:hAnsi="Arial" w:eastAsia="仿宋_GB2312" w:cs="Arial"/>
          <w:color w:val="000000"/>
          <w:kern w:val="0"/>
          <w:sz w:val="22"/>
          <w:szCs w:val="22"/>
        </w:rPr>
      </w:pPr>
    </w:p>
    <w:p>
      <w:pPr>
        <w:widowControl/>
        <w:numPr>
          <w:ilvl w:val="0"/>
          <w:numId w:val="0"/>
        </w:numPr>
        <w:spacing w:line="543" w:lineRule="atLeast"/>
        <w:jc w:val="left"/>
        <w:rPr>
          <w:rFonts w:hint="eastAsia" w:ascii="仿宋_GB2312" w:hAnsi="Arial" w:eastAsia="仿宋_GB2312" w:cs="Arial"/>
          <w:color w:val="000000"/>
          <w:kern w:val="0"/>
          <w:sz w:val="22"/>
          <w:szCs w:val="22"/>
        </w:rPr>
      </w:pPr>
    </w:p>
    <w:p>
      <w:pPr>
        <w:widowControl/>
        <w:numPr>
          <w:ilvl w:val="0"/>
          <w:numId w:val="0"/>
        </w:numPr>
        <w:spacing w:line="543" w:lineRule="atLeast"/>
        <w:jc w:val="left"/>
        <w:rPr>
          <w:rFonts w:hint="eastAsia" w:ascii="仿宋_GB2312" w:hAnsi="Arial" w:eastAsia="仿宋_GB2312" w:cs="Arial"/>
          <w:color w:val="000000"/>
          <w:kern w:val="0"/>
          <w:sz w:val="22"/>
          <w:szCs w:val="22"/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2732405</wp:posOffset>
            </wp:positionH>
            <wp:positionV relativeFrom="paragraph">
              <wp:posOffset>163830</wp:posOffset>
            </wp:positionV>
            <wp:extent cx="2859405" cy="2529205"/>
            <wp:effectExtent l="9525" t="9525" r="13335" b="19685"/>
            <wp:wrapNone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405" cy="252920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1F497D">
                          <a:lumMod val="40000"/>
                          <a:lumOff val="6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163830</wp:posOffset>
            </wp:positionV>
            <wp:extent cx="3046095" cy="2529205"/>
            <wp:effectExtent l="9525" t="9525" r="10160" b="19685"/>
            <wp:wrapNone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095" cy="252920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1F497D">
                          <a:lumMod val="40000"/>
                          <a:lumOff val="6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>
      <w:pPr>
        <w:widowControl/>
        <w:numPr>
          <w:ilvl w:val="0"/>
          <w:numId w:val="0"/>
        </w:numPr>
        <w:spacing w:line="543" w:lineRule="atLeast"/>
        <w:jc w:val="left"/>
        <w:rPr>
          <w:rFonts w:hint="eastAsia" w:ascii="仿宋_GB2312" w:hAnsi="Arial" w:eastAsia="仿宋_GB2312" w:cs="Arial"/>
          <w:color w:val="000000"/>
          <w:kern w:val="0"/>
          <w:sz w:val="22"/>
          <w:szCs w:val="22"/>
        </w:rPr>
      </w:pPr>
    </w:p>
    <w:p>
      <w:pPr>
        <w:widowControl/>
        <w:numPr>
          <w:ilvl w:val="0"/>
          <w:numId w:val="0"/>
        </w:numPr>
        <w:spacing w:line="543" w:lineRule="atLeast"/>
        <w:jc w:val="left"/>
        <w:rPr>
          <w:rFonts w:hint="eastAsia" w:ascii="仿宋_GB2312" w:hAnsi="Arial" w:eastAsia="仿宋_GB2312" w:cs="Arial"/>
          <w:color w:val="000000"/>
          <w:kern w:val="0"/>
          <w:sz w:val="22"/>
          <w:szCs w:val="22"/>
        </w:rPr>
      </w:pPr>
    </w:p>
    <w:p>
      <w:pPr>
        <w:widowControl/>
        <w:spacing w:line="543" w:lineRule="atLeast"/>
        <w:ind w:firstLine="435"/>
        <w:jc w:val="left"/>
        <w:rPr>
          <w:rFonts w:hint="eastAsia" w:ascii="楷体_GB2312" w:hAnsi="Arial" w:eastAsia="楷体_GB2312" w:cs="Arial"/>
          <w:b/>
          <w:bCs/>
          <w:color w:val="000000"/>
          <w:kern w:val="0"/>
          <w:sz w:val="22"/>
        </w:rPr>
      </w:pPr>
    </w:p>
    <w:p>
      <w:pPr>
        <w:widowControl/>
        <w:spacing w:line="543" w:lineRule="atLeast"/>
        <w:ind w:firstLine="435"/>
        <w:jc w:val="left"/>
        <w:rPr>
          <w:rFonts w:hint="eastAsia" w:ascii="楷体_GB2312" w:hAnsi="Arial" w:eastAsia="楷体_GB2312" w:cs="Arial"/>
          <w:b/>
          <w:bCs/>
          <w:color w:val="000000"/>
          <w:kern w:val="0"/>
          <w:sz w:val="22"/>
        </w:rPr>
      </w:pPr>
    </w:p>
    <w:p>
      <w:pPr>
        <w:widowControl/>
        <w:spacing w:line="543" w:lineRule="atLeast"/>
        <w:ind w:firstLine="435"/>
        <w:jc w:val="left"/>
        <w:rPr>
          <w:rFonts w:hint="eastAsia" w:ascii="楷体_GB2312" w:hAnsi="Arial" w:eastAsia="楷体_GB2312" w:cs="Arial"/>
          <w:b/>
          <w:bCs/>
          <w:color w:val="000000"/>
          <w:kern w:val="0"/>
          <w:sz w:val="22"/>
        </w:rPr>
      </w:pPr>
    </w:p>
    <w:p>
      <w:pPr>
        <w:widowControl/>
        <w:spacing w:line="543" w:lineRule="atLeast"/>
        <w:ind w:firstLine="435"/>
        <w:jc w:val="left"/>
        <w:rPr>
          <w:rFonts w:hint="eastAsia" w:ascii="楷体_GB2312" w:hAnsi="Arial" w:eastAsia="楷体_GB2312" w:cs="Arial"/>
          <w:b/>
          <w:bCs/>
          <w:color w:val="000000"/>
          <w:kern w:val="0"/>
          <w:sz w:val="22"/>
        </w:rPr>
      </w:pPr>
    </w:p>
    <w:p>
      <w:pPr>
        <w:widowControl/>
        <w:spacing w:line="543" w:lineRule="atLeast"/>
        <w:ind w:firstLine="435"/>
        <w:jc w:val="left"/>
        <w:rPr>
          <w:rFonts w:hint="eastAsia" w:ascii="楷体_GB2312" w:hAnsi="Arial" w:eastAsia="楷体_GB2312" w:cs="Arial"/>
          <w:b/>
          <w:bCs/>
          <w:color w:val="000000"/>
          <w:kern w:val="0"/>
          <w:sz w:val="22"/>
        </w:rPr>
      </w:pPr>
    </w:p>
    <w:p>
      <w:pPr>
        <w:widowControl/>
        <w:spacing w:line="543" w:lineRule="atLeast"/>
        <w:ind w:firstLine="435"/>
        <w:jc w:val="left"/>
        <w:rPr>
          <w:rFonts w:hint="eastAsia" w:ascii="仿宋_GB2312" w:hAnsi="Arial" w:eastAsia="仿宋_GB2312" w:cs="Arial"/>
          <w:color w:val="000000"/>
          <w:kern w:val="0"/>
          <w:sz w:val="22"/>
          <w:szCs w:val="22"/>
        </w:rPr>
      </w:pPr>
      <w:r>
        <w:rPr>
          <w:rFonts w:hint="eastAsia" w:ascii="楷体_GB2312" w:hAnsi="Arial" w:eastAsia="楷体_GB2312" w:cs="Arial"/>
          <w:b/>
          <w:bCs/>
          <w:color w:val="000000"/>
          <w:kern w:val="0"/>
          <w:sz w:val="22"/>
        </w:rPr>
        <w:t>（三）围绕解读回应创新公开。</w:t>
      </w:r>
      <w:r>
        <w:rPr>
          <w:rFonts w:hint="eastAsia" w:ascii="仿宋_GB2312" w:hAnsi="Arial" w:eastAsia="仿宋_GB2312" w:cs="Arial"/>
          <w:color w:val="000000"/>
          <w:kern w:val="0"/>
          <w:sz w:val="22"/>
          <w:szCs w:val="22"/>
        </w:rPr>
        <w:t>严格落实政策性文件与解读方案、解读材料同步组织、同步审签、同步部署的“三同步”规定，在厅门户网站开设“政策解读”专栏，深度解读政策内容。今年以来，累计发布44件国家和省级层面重要政策文件解读材料，规范性文件解读比例为100%。积极利用报刊、电视、杂志等多种媒体，通过撰稿解读、在线访谈、媒体专访新闻发布会等多种宣传形式，公开财政信息，解读财政政策。全年共举办省政府新闻办新闻发布会13场，其中厅主要负责同志带头解读3场，取得良好社会效果。梳理编制《财政惠民利企政策清单》，通过组织开展政策宣讲、制作图文解读等方式，创新拓展解读形式，让人民群众“听得懂”“信得过”，获得广泛好评。2019年省两会期间，制作H5动画“掌上账本”、《预算草案解读》等系列资料，解读民生政策，形式新颖，传阅范围广泛。</w:t>
      </w:r>
    </w:p>
    <w:p>
      <w:pPr>
        <w:widowControl/>
        <w:spacing w:line="543" w:lineRule="atLeast"/>
        <w:ind w:firstLine="435"/>
        <w:jc w:val="left"/>
        <w:rPr>
          <w:rFonts w:hint="eastAsia" w:ascii="仿宋_GB2312" w:hAnsi="Arial" w:eastAsia="仿宋_GB2312" w:cs="Arial"/>
          <w:color w:val="000000"/>
          <w:kern w:val="0"/>
          <w:sz w:val="22"/>
          <w:szCs w:val="22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-53975</wp:posOffset>
            </wp:positionH>
            <wp:positionV relativeFrom="paragraph">
              <wp:posOffset>306705</wp:posOffset>
            </wp:positionV>
            <wp:extent cx="2662555" cy="1697990"/>
            <wp:effectExtent l="9525" t="9525" r="15875" b="19685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2555" cy="16979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2786380</wp:posOffset>
            </wp:positionH>
            <wp:positionV relativeFrom="paragraph">
              <wp:posOffset>306705</wp:posOffset>
            </wp:positionV>
            <wp:extent cx="2623820" cy="1680845"/>
            <wp:effectExtent l="9525" t="9525" r="11430" b="1524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820" cy="16808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widowControl/>
        <w:spacing w:line="543" w:lineRule="atLeast"/>
        <w:ind w:firstLine="435"/>
        <w:jc w:val="left"/>
        <w:rPr>
          <w:rFonts w:hint="eastAsia" w:ascii="仿宋_GB2312" w:hAnsi="Arial" w:eastAsia="仿宋_GB2312" w:cs="Arial"/>
          <w:color w:val="000000"/>
          <w:kern w:val="0"/>
          <w:sz w:val="22"/>
          <w:szCs w:val="22"/>
        </w:rPr>
      </w:pPr>
    </w:p>
    <w:p>
      <w:pPr>
        <w:widowControl/>
        <w:spacing w:line="543" w:lineRule="atLeast"/>
        <w:ind w:firstLine="435"/>
        <w:jc w:val="left"/>
        <w:rPr>
          <w:rFonts w:hint="eastAsia" w:ascii="仿宋_GB2312" w:hAnsi="Arial" w:eastAsia="仿宋_GB2312" w:cs="Arial"/>
          <w:color w:val="000000"/>
          <w:kern w:val="0"/>
          <w:sz w:val="22"/>
          <w:szCs w:val="22"/>
        </w:rPr>
      </w:pPr>
    </w:p>
    <w:p>
      <w:pPr>
        <w:widowControl/>
        <w:spacing w:line="543" w:lineRule="atLeast"/>
        <w:ind w:firstLine="435"/>
        <w:jc w:val="left"/>
        <w:rPr>
          <w:rFonts w:hint="eastAsia" w:ascii="仿宋_GB2312" w:hAnsi="Arial" w:eastAsia="仿宋_GB2312" w:cs="Arial"/>
          <w:color w:val="000000"/>
          <w:kern w:val="0"/>
          <w:sz w:val="22"/>
          <w:szCs w:val="22"/>
        </w:rPr>
      </w:pPr>
    </w:p>
    <w:p>
      <w:pPr>
        <w:widowControl/>
        <w:spacing w:line="543" w:lineRule="atLeast"/>
        <w:ind w:firstLine="435"/>
        <w:jc w:val="left"/>
        <w:rPr>
          <w:rFonts w:hint="eastAsia" w:ascii="仿宋_GB2312" w:hAnsi="Arial" w:eastAsia="仿宋_GB2312" w:cs="Arial"/>
          <w:color w:val="000000"/>
          <w:kern w:val="0"/>
          <w:sz w:val="22"/>
          <w:szCs w:val="22"/>
        </w:rPr>
      </w:pPr>
    </w:p>
    <w:p>
      <w:pPr>
        <w:widowControl/>
        <w:spacing w:line="543" w:lineRule="atLeast"/>
        <w:ind w:firstLine="435"/>
        <w:jc w:val="left"/>
        <w:rPr>
          <w:rFonts w:hint="eastAsia" w:ascii="仿宋_GB2312" w:hAnsi="Arial" w:eastAsia="仿宋_GB2312" w:cs="Arial"/>
          <w:color w:val="000000"/>
          <w:kern w:val="0"/>
          <w:sz w:val="22"/>
          <w:szCs w:val="22"/>
        </w:rPr>
      </w:pPr>
    </w:p>
    <w:p>
      <w:pPr>
        <w:widowControl/>
        <w:numPr>
          <w:ilvl w:val="0"/>
          <w:numId w:val="2"/>
        </w:numPr>
        <w:spacing w:line="543" w:lineRule="atLeast"/>
        <w:ind w:firstLine="435"/>
        <w:jc w:val="left"/>
        <w:rPr>
          <w:rFonts w:hint="eastAsia" w:ascii="仿宋_GB2312" w:hAnsi="Arial" w:eastAsia="仿宋_GB2312" w:cs="Arial"/>
          <w:color w:val="000000"/>
          <w:kern w:val="0"/>
          <w:sz w:val="22"/>
          <w:szCs w:val="22"/>
        </w:rPr>
      </w:pPr>
      <w:r>
        <w:rPr>
          <w:rFonts w:hint="eastAsia" w:ascii="楷体_GB2312" w:hAnsi="Arial" w:eastAsia="楷体_GB2312" w:cs="Arial"/>
          <w:b/>
          <w:bCs/>
          <w:color w:val="000000"/>
          <w:kern w:val="0"/>
          <w:sz w:val="22"/>
        </w:rPr>
        <w:t>围绕群众关切用心公开。</w:t>
      </w:r>
      <w:r>
        <w:rPr>
          <w:rFonts w:hint="eastAsia" w:ascii="仿宋_GB2312" w:hAnsi="Arial" w:eastAsia="仿宋_GB2312" w:cs="Arial"/>
          <w:color w:val="000000"/>
          <w:kern w:val="0"/>
          <w:sz w:val="22"/>
          <w:szCs w:val="22"/>
        </w:rPr>
        <w:t>打造形成厅门户网站、“山东政务服务网”、微博微信等全方位、立体化互动交流模式，及时听取群众意见，解答网民咨询，回应公众诉求。</w:t>
      </w:r>
      <w:r>
        <w:rPr>
          <w:rFonts w:hint="eastAsia" w:ascii="黑体" w:hAnsi="黑体" w:eastAsia="黑体" w:cs="Arial"/>
          <w:color w:val="000000"/>
          <w:kern w:val="0"/>
          <w:sz w:val="22"/>
          <w:szCs w:val="22"/>
        </w:rPr>
        <w:t>一是</w:t>
      </w:r>
      <w:r>
        <w:rPr>
          <w:rFonts w:hint="eastAsia" w:ascii="仿宋_GB2312" w:hAnsi="Arial" w:eastAsia="仿宋_GB2312" w:cs="Arial"/>
          <w:color w:val="000000"/>
          <w:kern w:val="0"/>
          <w:sz w:val="22"/>
          <w:szCs w:val="22"/>
        </w:rPr>
        <w:t>用好“两微一端”新媒体平台。对政务微信公众号进行全面改版升级，增设“头条”“资讯”“他山”“基层”“荐读”等条目。全年通过“山东财政”微信公众号发布信息880余条，政务微博230余条。设置“微服务”“微公开”“微解读”三个栏目，将有奖发票、非税缴费、政府采购、会计人员信息等与群众密切相关的内容搬上“微平台”，提升“山东财政”微信公众号的群众参与度和社会美誉度。改版升级后粉丝量翻了两番多，由改版前的1.2万人跃升为6.8万人。</w:t>
      </w:r>
      <w:r>
        <w:rPr>
          <w:rFonts w:hint="eastAsia" w:ascii="黑体" w:hAnsi="黑体" w:eastAsia="黑体" w:cs="Arial"/>
          <w:color w:val="000000"/>
          <w:kern w:val="0"/>
          <w:sz w:val="22"/>
          <w:szCs w:val="22"/>
        </w:rPr>
        <w:t>二是</w:t>
      </w:r>
      <w:r>
        <w:rPr>
          <w:rFonts w:hint="eastAsia" w:ascii="仿宋_GB2312" w:hAnsi="Arial" w:eastAsia="仿宋_GB2312" w:cs="Arial"/>
          <w:color w:val="000000"/>
          <w:kern w:val="0"/>
          <w:sz w:val="22"/>
          <w:szCs w:val="22"/>
        </w:rPr>
        <w:t>参加大型访谈活动。连续10年参加“阳光政务热线”直播节目。今年共参加“阳光政务热线”2次。全年参加《问政山东》2次，各有关处室、单位积极准备、强化落实，针对节目反映问题压实责任、跟踪督办、举一反三，节目反映问题全部整改落实到位。</w:t>
      </w:r>
      <w:r>
        <w:rPr>
          <w:rFonts w:hint="eastAsia" w:ascii="黑体" w:hAnsi="黑体" w:eastAsia="黑体" w:cs="Arial"/>
          <w:color w:val="000000"/>
          <w:kern w:val="0"/>
          <w:sz w:val="22"/>
          <w:szCs w:val="22"/>
        </w:rPr>
        <w:t>三是</w:t>
      </w:r>
      <w:r>
        <w:rPr>
          <w:rFonts w:hint="eastAsia" w:ascii="仿宋_GB2312" w:hAnsi="Arial" w:eastAsia="仿宋_GB2312" w:cs="Arial"/>
          <w:color w:val="000000"/>
          <w:kern w:val="0"/>
          <w:sz w:val="22"/>
          <w:szCs w:val="22"/>
        </w:rPr>
        <w:t>畅通政民互动渠道。全年共办理厅门户网站领导信箱和业务咨询400余件，办理政府信息公开申请80件，受理省政府“政务服务网”办事咨询来件142件，按时回复率与满意率均为100%。2019年，我厅共承办人大代表建议154件、政协提案94件，已全部在规定时间内办理完毕，办结率为100%。已答复的人大代表建议中，所提问题已经解决或基本解决、标注为“A”的有90件，占58.4%；所提问题正在解决或列入规划逐步解决、标注为B的有58件，占37.7%；所提问题暂时难以解决、标注为“C”的仅有6件；已答复的政协提案中，所提问题已经解决或基本解决、标注为“A”的有46件，占48.9%；所提问题正在解决或列入规划逐步解决、标注为B的有39件，占41.5%；所提问题暂时难以解决、标注为“C”的仅有9件，办理质量和效率明显提升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3" w:lineRule="atLeast"/>
        <w:ind w:firstLine="640" w:firstLineChars="200"/>
        <w:jc w:val="both"/>
        <w:textAlignment w:val="auto"/>
        <w:rPr>
          <w:rFonts w:hint="eastAsia" w:ascii="楷体_GB2312" w:hAnsi="Arial" w:eastAsia="楷体_GB2312" w:cs="Arial"/>
          <w:b/>
          <w:bCs/>
          <w:color w:val="000000"/>
          <w:kern w:val="0"/>
          <w:sz w:val="22"/>
        </w:rPr>
      </w:pPr>
      <w:r>
        <w:rPr>
          <w:rFonts w:ascii="仿宋_GB2312" w:hAnsi="宋体" w:eastAsia="仿宋_GB2312" w:cs="宋体"/>
          <w:kern w:val="0"/>
          <w:sz w:val="32"/>
          <w:szCs w:val="3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3911600</wp:posOffset>
            </wp:positionH>
            <wp:positionV relativeFrom="paragraph">
              <wp:posOffset>1934845</wp:posOffset>
            </wp:positionV>
            <wp:extent cx="1217295" cy="1659255"/>
            <wp:effectExtent l="9525" t="9525" r="14605" b="15240"/>
            <wp:wrapSquare wrapText="bothSides"/>
            <wp:docPr id="45" name="图片 45" descr="H:\0299ae87155ffc5590278bb1de3b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H:\0299ae87155ffc5590278bb1de3b1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7295" cy="165925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1F497D">
                          <a:lumMod val="40000"/>
                          <a:lumOff val="6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rFonts w:ascii="仿宋_GB2312" w:hAnsi="宋体" w:eastAsia="仿宋_GB2312" w:cs="宋体"/>
          <w:kern w:val="0"/>
          <w:sz w:val="32"/>
          <w:szCs w:val="3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2597785</wp:posOffset>
            </wp:positionH>
            <wp:positionV relativeFrom="paragraph">
              <wp:posOffset>1931035</wp:posOffset>
            </wp:positionV>
            <wp:extent cx="1210945" cy="1649730"/>
            <wp:effectExtent l="9525" t="9525" r="10160" b="13970"/>
            <wp:wrapSquare wrapText="bothSides"/>
            <wp:docPr id="44" name="图片 44" descr="H:\9be9f1d0db0594281fc7cfe79b509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H:\9be9f1d0db0594281fc7cfe79b5098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0945" cy="164973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1F497D">
                          <a:lumMod val="40000"/>
                          <a:lumOff val="6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1930400</wp:posOffset>
            </wp:positionV>
            <wp:extent cx="2519680" cy="1678305"/>
            <wp:effectExtent l="9525" t="9525" r="18415" b="17780"/>
            <wp:wrapSquare wrapText="bothSides"/>
            <wp:docPr id="46" name="图片 46" descr="9ae6e87afd598f0b879396184a554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9ae6e87afd598f0b879396184a554d7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67830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1F497D">
                          <a:lumMod val="40000"/>
                          <a:lumOff val="6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128905</wp:posOffset>
            </wp:positionV>
            <wp:extent cx="2477135" cy="1651635"/>
            <wp:effectExtent l="9525" t="9525" r="17780" b="12065"/>
            <wp:wrapSquare wrapText="bothSides"/>
            <wp:docPr id="47" name="图片 47" descr="f274e65acd18ad6769dc17f7e159c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f274e65acd18ad6769dc17f7e159c7a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7135" cy="165163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1F497D">
                          <a:lumMod val="40000"/>
                          <a:lumOff val="6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2705100</wp:posOffset>
            </wp:positionH>
            <wp:positionV relativeFrom="paragraph">
              <wp:posOffset>128905</wp:posOffset>
            </wp:positionV>
            <wp:extent cx="2455545" cy="1646555"/>
            <wp:effectExtent l="9525" t="9525" r="17780" b="17145"/>
            <wp:wrapSquare wrapText="bothSides"/>
            <wp:docPr id="48" name="图片 48" descr="17f3c4fc3dd207ea991f096e6df2e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17f3c4fc3dd207ea991f096e6df2ec8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304"/>
                    <a:stretch>
                      <a:fillRect/>
                    </a:stretch>
                  </pic:blipFill>
                  <pic:spPr>
                    <a:xfrm>
                      <a:off x="0" y="0"/>
                      <a:ext cx="2455545" cy="164655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1F497D">
                          <a:lumMod val="40000"/>
                          <a:lumOff val="6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3" w:lineRule="atLeast"/>
        <w:ind w:firstLine="442" w:firstLineChars="200"/>
        <w:jc w:val="both"/>
        <w:textAlignment w:val="auto"/>
        <w:rPr>
          <w:rFonts w:hint="eastAsia" w:ascii="仿宋_GB2312" w:hAnsi="Arial" w:eastAsia="仿宋_GB2312" w:cs="Arial"/>
          <w:color w:val="000000"/>
          <w:kern w:val="0"/>
          <w:sz w:val="22"/>
          <w:szCs w:val="22"/>
        </w:rPr>
      </w:pPr>
      <w:r>
        <w:rPr>
          <w:rFonts w:hint="eastAsia" w:ascii="楷体_GB2312" w:hAnsi="Arial" w:eastAsia="楷体_GB2312" w:cs="Arial"/>
          <w:b/>
          <w:bCs/>
          <w:color w:val="000000"/>
          <w:kern w:val="0"/>
          <w:sz w:val="22"/>
        </w:rPr>
        <w:t>（五）围绕机制保障强化公开。</w:t>
      </w:r>
      <w:r>
        <w:rPr>
          <w:rFonts w:hint="eastAsia" w:ascii="仿宋_GB2312" w:hAnsi="Arial" w:eastAsia="仿宋_GB2312" w:cs="Arial"/>
          <w:color w:val="000000"/>
          <w:kern w:val="0"/>
          <w:sz w:val="22"/>
          <w:szCs w:val="22"/>
        </w:rPr>
        <w:t>调整厅机关政务公开工作领导小组，建立了厅主要领导亲自部署、厅分管领导具体负责、办公室牵头落实、各处室密切配合的工作机制。举办全省政务公开工作培训班。完善财政信息公开工作制度，修订厅门户网站维护管理办法，将政务公开工作纳入厅机关绩效考核，将财政信息公开纳入《山东省财政厅公共关系风险内部控制办法（试行）》，严把风险防控关。印发《山东省财政厅主动公开基本目录》，梳理主动公开事项共7类、25项，提高了主动公开工作标准化、规范化水平。</w:t>
      </w:r>
    </w:p>
    <w:p>
      <w:pPr>
        <w:widowControl/>
        <w:spacing w:line="543" w:lineRule="atLeast"/>
        <w:ind w:firstLine="435"/>
        <w:jc w:val="left"/>
        <w:rPr>
          <w:rFonts w:hint="eastAsia" w:ascii="仿宋_GB2312" w:hAnsi="Arial" w:eastAsia="仿宋_GB2312" w:cs="Arial"/>
          <w:color w:val="000000"/>
          <w:kern w:val="0"/>
          <w:sz w:val="22"/>
          <w:szCs w:val="22"/>
        </w:rPr>
      </w:pPr>
      <w:r>
        <w:rPr>
          <w:rFonts w:hint="eastAsia" w:ascii="仿宋_GB2312" w:hAnsi="宋体" w:eastAsia="仿宋_GB2312"/>
          <w:color w:val="000000"/>
          <w:sz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2760345</wp:posOffset>
            </wp:positionH>
            <wp:positionV relativeFrom="paragraph">
              <wp:posOffset>147955</wp:posOffset>
            </wp:positionV>
            <wp:extent cx="2731135" cy="1822450"/>
            <wp:effectExtent l="9525" t="9525" r="12065" b="13970"/>
            <wp:wrapSquare wrapText="bothSides"/>
            <wp:docPr id="34" name="图片 34" descr="I:\e829e6783e904689e9d9eea3d99f8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I:\e829e6783e904689e9d9eea3d99f8e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1135" cy="1822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宋体" w:eastAsia="仿宋_GB2312"/>
          <w:color w:val="000000"/>
          <w:sz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147320</wp:posOffset>
            </wp:positionV>
            <wp:extent cx="2742565" cy="1831340"/>
            <wp:effectExtent l="9525" t="9525" r="11430" b="15875"/>
            <wp:wrapNone/>
            <wp:docPr id="29" name="图片 29" descr="I:\24ad50a4ce3bec12f4fdcc1bdccff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:\24ad50a4ce3bec12f4fdcc1bdccffe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18313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widowControl/>
        <w:spacing w:line="543" w:lineRule="atLeast"/>
        <w:ind w:firstLine="435"/>
        <w:jc w:val="left"/>
        <w:rPr>
          <w:rFonts w:hint="eastAsia" w:ascii="仿宋_GB2312" w:hAnsi="Arial" w:eastAsia="仿宋_GB2312" w:cs="Arial"/>
          <w:color w:val="000000"/>
          <w:kern w:val="0"/>
          <w:sz w:val="22"/>
          <w:szCs w:val="22"/>
        </w:rPr>
      </w:pPr>
    </w:p>
    <w:p>
      <w:pPr>
        <w:widowControl/>
        <w:spacing w:line="543" w:lineRule="atLeast"/>
        <w:ind w:firstLine="435"/>
        <w:jc w:val="left"/>
        <w:rPr>
          <w:rFonts w:hint="eastAsia" w:ascii="仿宋_GB2312" w:hAnsi="Arial" w:eastAsia="仿宋_GB2312" w:cs="Arial"/>
          <w:color w:val="000000"/>
          <w:kern w:val="0"/>
          <w:sz w:val="22"/>
          <w:szCs w:val="22"/>
        </w:rPr>
      </w:pPr>
    </w:p>
    <w:p>
      <w:pPr>
        <w:widowControl/>
        <w:spacing w:line="543" w:lineRule="atLeast"/>
        <w:ind w:firstLine="435"/>
        <w:jc w:val="left"/>
        <w:rPr>
          <w:rFonts w:hint="eastAsia" w:ascii="仿宋_GB2312" w:hAnsi="Arial" w:eastAsia="仿宋_GB2312" w:cs="Arial"/>
          <w:color w:val="000000"/>
          <w:kern w:val="0"/>
          <w:sz w:val="22"/>
          <w:szCs w:val="22"/>
        </w:rPr>
      </w:pPr>
    </w:p>
    <w:p>
      <w:pPr>
        <w:widowControl/>
        <w:spacing w:line="543" w:lineRule="atLeast"/>
        <w:ind w:firstLine="435"/>
        <w:jc w:val="left"/>
        <w:rPr>
          <w:rFonts w:hint="eastAsia" w:ascii="仿宋_GB2312" w:hAnsi="Arial" w:eastAsia="仿宋_GB2312" w:cs="Arial"/>
          <w:color w:val="000000"/>
          <w:kern w:val="0"/>
          <w:sz w:val="22"/>
          <w:szCs w:val="22"/>
        </w:rPr>
      </w:pPr>
    </w:p>
    <w:p>
      <w:pPr>
        <w:widowControl/>
        <w:spacing w:line="543" w:lineRule="atLeast"/>
        <w:ind w:firstLine="435"/>
        <w:jc w:val="left"/>
        <w:rPr>
          <w:rFonts w:ascii="Arial" w:hAnsi="Arial" w:cs="Arial"/>
          <w:color w:val="000000"/>
          <w:kern w:val="0"/>
          <w:sz w:val="19"/>
          <w:szCs w:val="19"/>
        </w:rPr>
      </w:pPr>
      <w:r>
        <w:rPr>
          <w:rFonts w:hint="eastAsia" w:ascii="黑体" w:hAnsi="黑体" w:eastAsia="黑体" w:cs="Arial"/>
          <w:color w:val="000000"/>
          <w:kern w:val="0"/>
          <w:sz w:val="22"/>
          <w:szCs w:val="22"/>
        </w:rPr>
        <w:t>二、主动公开政府信息情况</w:t>
      </w:r>
    </w:p>
    <w:p>
      <w:pPr>
        <w:widowControl/>
        <w:spacing w:line="543" w:lineRule="atLeast"/>
        <w:ind w:firstLine="584"/>
        <w:jc w:val="left"/>
        <w:rPr>
          <w:rFonts w:ascii="Arial" w:hAnsi="Arial" w:cs="Arial"/>
          <w:color w:val="000000"/>
          <w:kern w:val="0"/>
          <w:sz w:val="19"/>
          <w:szCs w:val="19"/>
        </w:rPr>
      </w:pPr>
      <w:r>
        <w:rPr>
          <w:rFonts w:hint="eastAsia" w:ascii="宋体" w:hAnsi="宋体" w:cs="宋体"/>
          <w:color w:val="000000"/>
          <w:kern w:val="0"/>
          <w:sz w:val="29"/>
          <w:szCs w:val="29"/>
        </w:rPr>
        <w:t> </w:t>
      </w:r>
    </w:p>
    <w:tbl>
      <w:tblPr>
        <w:tblStyle w:val="5"/>
        <w:tblW w:w="8715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075"/>
        <w:gridCol w:w="15"/>
        <w:gridCol w:w="2100"/>
        <w:gridCol w:w="1500"/>
        <w:gridCol w:w="2025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6" w:hRule="atLeast"/>
          <w:jc w:val="center"/>
        </w:trPr>
        <w:tc>
          <w:tcPr>
            <w:tcW w:w="8715" w:type="dxa"/>
            <w:gridSpan w:val="5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第二十条第（一）项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6" w:hRule="atLeast"/>
          <w:jc w:val="center"/>
        </w:trPr>
        <w:tc>
          <w:tcPr>
            <w:tcW w:w="307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信息内容</w:t>
            </w:r>
          </w:p>
        </w:tc>
        <w:tc>
          <w:tcPr>
            <w:tcW w:w="2115" w:type="dxa"/>
            <w:gridSpan w:val="2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本年新制作数量</w:t>
            </w:r>
          </w:p>
        </w:tc>
        <w:tc>
          <w:tcPr>
            <w:tcW w:w="1500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本年新</w:t>
            </w: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公开数量</w:t>
            </w:r>
          </w:p>
        </w:tc>
        <w:tc>
          <w:tcPr>
            <w:tcW w:w="202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对外公开</w:t>
            </w:r>
          </w:p>
          <w:p>
            <w:pPr>
              <w:widowControl/>
              <w:spacing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总数量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6" w:hRule="atLeast"/>
          <w:jc w:val="center"/>
        </w:trPr>
        <w:tc>
          <w:tcPr>
            <w:tcW w:w="307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规章</w:t>
            </w:r>
          </w:p>
        </w:tc>
        <w:tc>
          <w:tcPr>
            <w:tcW w:w="2115" w:type="dxa"/>
            <w:gridSpan w:val="2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0</w:t>
            </w:r>
          </w:p>
        </w:tc>
        <w:tc>
          <w:tcPr>
            <w:tcW w:w="150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0</w:t>
            </w:r>
          </w:p>
        </w:tc>
        <w:tc>
          <w:tcPr>
            <w:tcW w:w="202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6" w:hRule="atLeast"/>
          <w:jc w:val="center"/>
        </w:trPr>
        <w:tc>
          <w:tcPr>
            <w:tcW w:w="307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规范性文件</w:t>
            </w:r>
          </w:p>
        </w:tc>
        <w:tc>
          <w:tcPr>
            <w:tcW w:w="2115" w:type="dxa"/>
            <w:gridSpan w:val="2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44</w:t>
            </w:r>
          </w:p>
        </w:tc>
        <w:tc>
          <w:tcPr>
            <w:tcW w:w="150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43</w:t>
            </w:r>
          </w:p>
        </w:tc>
        <w:tc>
          <w:tcPr>
            <w:tcW w:w="202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43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6" w:hRule="atLeast"/>
          <w:jc w:val="center"/>
        </w:trPr>
        <w:tc>
          <w:tcPr>
            <w:tcW w:w="8715" w:type="dxa"/>
            <w:gridSpan w:val="5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第二十条第（五）项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6" w:hRule="atLeast"/>
          <w:jc w:val="center"/>
        </w:trPr>
        <w:tc>
          <w:tcPr>
            <w:tcW w:w="307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信息内容</w:t>
            </w:r>
          </w:p>
        </w:tc>
        <w:tc>
          <w:tcPr>
            <w:tcW w:w="2115" w:type="dxa"/>
            <w:gridSpan w:val="2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上一年项目数量</w:t>
            </w:r>
          </w:p>
        </w:tc>
        <w:tc>
          <w:tcPr>
            <w:tcW w:w="1500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本年增/减</w:t>
            </w:r>
          </w:p>
        </w:tc>
        <w:tc>
          <w:tcPr>
            <w:tcW w:w="202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处理决定数量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6" w:hRule="atLeast"/>
          <w:jc w:val="center"/>
        </w:trPr>
        <w:tc>
          <w:tcPr>
            <w:tcW w:w="307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行政许可</w:t>
            </w:r>
          </w:p>
        </w:tc>
        <w:tc>
          <w:tcPr>
            <w:tcW w:w="2115" w:type="dxa"/>
            <w:gridSpan w:val="2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5</w:t>
            </w:r>
          </w:p>
        </w:tc>
        <w:tc>
          <w:tcPr>
            <w:tcW w:w="150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减2</w:t>
            </w:r>
          </w:p>
        </w:tc>
        <w:tc>
          <w:tcPr>
            <w:tcW w:w="202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center"/>
              <w:rPr>
                <w:rFonts w:hint="eastAsia" w:ascii="宋体" w:hAnsi="宋体" w:eastAsia="宋体" w:cs="宋体"/>
                <w:kern w:val="0"/>
                <w:sz w:val="19"/>
                <w:szCs w:val="19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  <w:lang w:val="en-US" w:eastAsia="zh-CN"/>
              </w:rPr>
              <w:t>217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6" w:hRule="atLeast"/>
          <w:jc w:val="center"/>
        </w:trPr>
        <w:tc>
          <w:tcPr>
            <w:tcW w:w="307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其他对外管理服务事项</w:t>
            </w:r>
          </w:p>
        </w:tc>
        <w:tc>
          <w:tcPr>
            <w:tcW w:w="2115" w:type="dxa"/>
            <w:gridSpan w:val="2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0</w:t>
            </w:r>
          </w:p>
        </w:tc>
        <w:tc>
          <w:tcPr>
            <w:tcW w:w="150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0</w:t>
            </w:r>
          </w:p>
        </w:tc>
        <w:tc>
          <w:tcPr>
            <w:tcW w:w="202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6" w:hRule="atLeast"/>
          <w:jc w:val="center"/>
        </w:trPr>
        <w:tc>
          <w:tcPr>
            <w:tcW w:w="8715" w:type="dxa"/>
            <w:gridSpan w:val="5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第二十条第（六）项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6" w:hRule="atLeast"/>
          <w:jc w:val="center"/>
        </w:trPr>
        <w:tc>
          <w:tcPr>
            <w:tcW w:w="307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信息内容</w:t>
            </w:r>
          </w:p>
        </w:tc>
        <w:tc>
          <w:tcPr>
            <w:tcW w:w="2115" w:type="dxa"/>
            <w:gridSpan w:val="2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上一年项目数量</w:t>
            </w:r>
          </w:p>
        </w:tc>
        <w:tc>
          <w:tcPr>
            <w:tcW w:w="1500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本年增/减</w:t>
            </w:r>
          </w:p>
        </w:tc>
        <w:tc>
          <w:tcPr>
            <w:tcW w:w="202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处理决定数量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6" w:hRule="atLeast"/>
          <w:jc w:val="center"/>
        </w:trPr>
        <w:tc>
          <w:tcPr>
            <w:tcW w:w="307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行政处罚</w:t>
            </w:r>
          </w:p>
        </w:tc>
        <w:tc>
          <w:tcPr>
            <w:tcW w:w="2115" w:type="dxa"/>
            <w:gridSpan w:val="2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36</w:t>
            </w:r>
          </w:p>
        </w:tc>
        <w:tc>
          <w:tcPr>
            <w:tcW w:w="150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0</w:t>
            </w:r>
          </w:p>
        </w:tc>
        <w:tc>
          <w:tcPr>
            <w:tcW w:w="202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center"/>
              <w:rPr>
                <w:rFonts w:hint="eastAsia" w:ascii="宋体" w:hAnsi="宋体" w:eastAsia="宋体" w:cs="宋体"/>
                <w:kern w:val="0"/>
                <w:sz w:val="19"/>
                <w:szCs w:val="19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  <w:lang w:val="en-US" w:eastAsia="zh-CN"/>
              </w:rPr>
              <w:t>2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6" w:hRule="atLeast"/>
          <w:jc w:val="center"/>
        </w:trPr>
        <w:tc>
          <w:tcPr>
            <w:tcW w:w="307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行政强制</w:t>
            </w:r>
          </w:p>
        </w:tc>
        <w:tc>
          <w:tcPr>
            <w:tcW w:w="2115" w:type="dxa"/>
            <w:gridSpan w:val="2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0</w:t>
            </w:r>
          </w:p>
        </w:tc>
        <w:tc>
          <w:tcPr>
            <w:tcW w:w="150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0</w:t>
            </w:r>
          </w:p>
        </w:tc>
        <w:tc>
          <w:tcPr>
            <w:tcW w:w="202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6" w:hRule="atLeast"/>
          <w:jc w:val="center"/>
        </w:trPr>
        <w:tc>
          <w:tcPr>
            <w:tcW w:w="8715" w:type="dxa"/>
            <w:gridSpan w:val="5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第二十条第（八）项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6" w:hRule="atLeast"/>
          <w:jc w:val="center"/>
        </w:trPr>
        <w:tc>
          <w:tcPr>
            <w:tcW w:w="307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信息内容</w:t>
            </w:r>
          </w:p>
        </w:tc>
        <w:tc>
          <w:tcPr>
            <w:tcW w:w="2115" w:type="dxa"/>
            <w:gridSpan w:val="2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上一年项目数量</w:t>
            </w:r>
          </w:p>
        </w:tc>
        <w:tc>
          <w:tcPr>
            <w:tcW w:w="3525" w:type="dxa"/>
            <w:gridSpan w:val="2"/>
            <w:tcBorders>
              <w:top w:val="single" w:color="auto" w:sz="6" w:space="0"/>
              <w:left w:val="nil"/>
              <w:bottom w:val="single" w:color="auto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本年增/减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6" w:hRule="atLeast"/>
          <w:jc w:val="center"/>
        </w:trPr>
        <w:tc>
          <w:tcPr>
            <w:tcW w:w="307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行政事业性收费</w:t>
            </w:r>
          </w:p>
        </w:tc>
        <w:tc>
          <w:tcPr>
            <w:tcW w:w="2115" w:type="dxa"/>
            <w:gridSpan w:val="2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50</w:t>
            </w:r>
          </w:p>
          <w:p>
            <w:pPr>
              <w:widowControl/>
              <w:spacing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（中央42+省级8）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color="auto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center"/>
              <w:rPr>
                <w:rFonts w:hint="eastAsia" w:ascii="宋体" w:hAnsi="宋体" w:eastAsia="宋体" w:cs="宋体"/>
                <w:kern w:val="0"/>
                <w:sz w:val="19"/>
                <w:szCs w:val="19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  <w:lang w:val="en-US" w:eastAsia="zh-CN"/>
              </w:rPr>
              <w:t>1</w:t>
            </w:r>
            <w:bookmarkStart w:id="0" w:name="_GoBack"/>
            <w:bookmarkEnd w:id="0"/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6" w:hRule="atLeast"/>
          <w:jc w:val="center"/>
        </w:trPr>
        <w:tc>
          <w:tcPr>
            <w:tcW w:w="8715" w:type="dxa"/>
            <w:gridSpan w:val="5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第二十条第（九）项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6" w:hRule="atLeast"/>
          <w:jc w:val="center"/>
        </w:trPr>
        <w:tc>
          <w:tcPr>
            <w:tcW w:w="3090" w:type="dxa"/>
            <w:gridSpan w:val="2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信息内容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采购项目数量</w:t>
            </w:r>
          </w:p>
        </w:tc>
        <w:tc>
          <w:tcPr>
            <w:tcW w:w="3525" w:type="dxa"/>
            <w:gridSpan w:val="2"/>
            <w:tcBorders>
              <w:top w:val="single" w:color="auto" w:sz="6" w:space="0"/>
              <w:left w:val="nil"/>
              <w:bottom w:val="single" w:color="auto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采购总金额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6" w:hRule="atLeast"/>
          <w:jc w:val="center"/>
        </w:trPr>
        <w:tc>
          <w:tcPr>
            <w:tcW w:w="3090" w:type="dxa"/>
            <w:gridSpan w:val="2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政府集中采购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119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color="auto" w:sz="6" w:space="0"/>
              <w:right w:val="single" w:color="000000" w:sz="6" w:space="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5457万元</w:t>
            </w:r>
          </w:p>
        </w:tc>
      </w:tr>
    </w:tbl>
    <w:p>
      <w:pPr>
        <w:widowControl/>
        <w:spacing w:line="543" w:lineRule="atLeast"/>
        <w:jc w:val="left"/>
        <w:rPr>
          <w:rFonts w:ascii="Arial" w:hAnsi="Arial" w:cs="Arial"/>
          <w:color w:val="000000"/>
          <w:kern w:val="0"/>
          <w:sz w:val="19"/>
          <w:szCs w:val="19"/>
        </w:rPr>
      </w:pPr>
      <w:r>
        <w:rPr>
          <w:rFonts w:hint="eastAsia" w:ascii="宋体" w:hAnsi="宋体" w:cs="宋体"/>
          <w:color w:val="000000"/>
          <w:kern w:val="0"/>
          <w:sz w:val="29"/>
          <w:szCs w:val="29"/>
        </w:rPr>
        <w:t> </w:t>
      </w:r>
    </w:p>
    <w:p>
      <w:pPr>
        <w:widowControl/>
        <w:spacing w:line="543" w:lineRule="atLeast"/>
        <w:ind w:firstLine="435"/>
        <w:jc w:val="left"/>
        <w:rPr>
          <w:rFonts w:ascii="Arial" w:hAnsi="Arial" w:cs="Arial"/>
          <w:color w:val="000000"/>
          <w:kern w:val="0"/>
          <w:sz w:val="19"/>
          <w:szCs w:val="19"/>
        </w:rPr>
      </w:pPr>
      <w:r>
        <w:rPr>
          <w:rFonts w:hint="eastAsia" w:ascii="黑体" w:hAnsi="黑体" w:eastAsia="黑体" w:cs="Arial"/>
          <w:color w:val="000000"/>
          <w:kern w:val="0"/>
          <w:sz w:val="22"/>
          <w:szCs w:val="22"/>
        </w:rPr>
        <w:t>三、收到和处理政府信息公开申请情况</w:t>
      </w:r>
    </w:p>
    <w:p>
      <w:pPr>
        <w:widowControl/>
        <w:spacing w:line="543" w:lineRule="atLeast"/>
        <w:ind w:firstLine="435"/>
        <w:jc w:val="left"/>
        <w:rPr>
          <w:rFonts w:ascii="Arial" w:hAnsi="Arial" w:cs="Arial"/>
          <w:color w:val="000000"/>
          <w:kern w:val="0"/>
          <w:sz w:val="19"/>
          <w:szCs w:val="19"/>
        </w:rPr>
      </w:pPr>
      <w:r>
        <w:rPr>
          <w:rFonts w:hint="eastAsia" w:ascii="仿宋_GB2312" w:hAnsi="Arial" w:eastAsia="仿宋_GB2312" w:cs="Arial"/>
          <w:color w:val="000000"/>
          <w:kern w:val="0"/>
          <w:sz w:val="22"/>
          <w:szCs w:val="22"/>
        </w:rPr>
        <w:t>全年共办理信息公开申请80件，同比减少20%。其中，通过厅门户网站收到信息公开申请58件，通过信函收到信息公开申请22件，均在规定时限内给予了答复。政府信息公开申请的内容主要涉及资金信息、征地拆迁补偿、棚户区改造、社会保障、信访举报等方面。申请人多来自高校师生、律师事务所及社会个人，申请目的多与毕业论文、课题研究及自身生产生活有关。</w:t>
      </w:r>
    </w:p>
    <w:p>
      <w:pPr>
        <w:widowControl/>
        <w:spacing w:line="543" w:lineRule="atLeast"/>
        <w:ind w:firstLine="435"/>
        <w:jc w:val="left"/>
        <w:rPr>
          <w:rFonts w:ascii="Arial" w:hAnsi="Arial" w:cs="Arial"/>
          <w:color w:val="000000"/>
          <w:kern w:val="0"/>
          <w:sz w:val="19"/>
          <w:szCs w:val="19"/>
        </w:rPr>
      </w:pPr>
      <w:r>
        <w:rPr>
          <w:rFonts w:hint="eastAsia" w:ascii="仿宋_GB2312" w:hAnsi="Arial" w:eastAsia="仿宋_GB2312" w:cs="Arial"/>
          <w:color w:val="000000"/>
          <w:kern w:val="0"/>
          <w:sz w:val="22"/>
          <w:szCs w:val="22"/>
        </w:rPr>
        <w:t>在答复的申请中：属于同意公开39件，占48.75%；</w:t>
      </w:r>
    </w:p>
    <w:p>
      <w:pPr>
        <w:widowControl/>
        <w:spacing w:line="543" w:lineRule="atLeast"/>
        <w:ind w:firstLine="435"/>
        <w:jc w:val="left"/>
        <w:rPr>
          <w:rFonts w:ascii="Arial" w:hAnsi="Arial" w:cs="Arial"/>
          <w:color w:val="000000"/>
          <w:kern w:val="0"/>
          <w:sz w:val="19"/>
          <w:szCs w:val="19"/>
        </w:rPr>
      </w:pPr>
      <w:r>
        <w:rPr>
          <w:rFonts w:hint="eastAsia" w:ascii="仿宋_GB2312" w:hAnsi="Arial" w:eastAsia="仿宋_GB2312" w:cs="Arial"/>
          <w:color w:val="000000"/>
          <w:kern w:val="0"/>
          <w:sz w:val="22"/>
          <w:szCs w:val="22"/>
        </w:rPr>
        <w:t>同意部分公开4件，占5%；</w:t>
      </w:r>
    </w:p>
    <w:p>
      <w:pPr>
        <w:widowControl/>
        <w:spacing w:line="543" w:lineRule="atLeast"/>
        <w:ind w:firstLine="435"/>
        <w:jc w:val="left"/>
        <w:rPr>
          <w:rFonts w:ascii="Arial" w:hAnsi="Arial" w:cs="Arial"/>
          <w:color w:val="000000"/>
          <w:kern w:val="0"/>
          <w:sz w:val="19"/>
          <w:szCs w:val="19"/>
        </w:rPr>
      </w:pPr>
      <w:r>
        <w:rPr>
          <w:rFonts w:hint="eastAsia" w:ascii="仿宋_GB2312" w:hAnsi="Arial" w:eastAsia="仿宋_GB2312" w:cs="Arial"/>
          <w:color w:val="000000"/>
          <w:kern w:val="0"/>
          <w:sz w:val="22"/>
          <w:szCs w:val="22"/>
        </w:rPr>
        <w:t>因属于国家秘密，不同意公开3件，占3.75%；</w:t>
      </w:r>
    </w:p>
    <w:p>
      <w:pPr>
        <w:widowControl/>
        <w:spacing w:line="543" w:lineRule="atLeast"/>
        <w:ind w:firstLine="435"/>
        <w:jc w:val="left"/>
        <w:rPr>
          <w:rFonts w:ascii="Arial" w:hAnsi="Arial" w:cs="Arial"/>
          <w:color w:val="000000"/>
          <w:kern w:val="0"/>
          <w:sz w:val="19"/>
          <w:szCs w:val="19"/>
        </w:rPr>
      </w:pPr>
      <w:r>
        <w:rPr>
          <w:rFonts w:hint="eastAsia" w:ascii="仿宋_GB2312" w:hAnsi="Arial" w:eastAsia="仿宋_GB2312" w:cs="Arial"/>
          <w:color w:val="000000"/>
          <w:kern w:val="0"/>
          <w:sz w:val="22"/>
          <w:szCs w:val="22"/>
        </w:rPr>
        <w:t>不属于本行政机关公开范围25件，占31.25%；</w:t>
      </w:r>
    </w:p>
    <w:p>
      <w:pPr>
        <w:widowControl/>
        <w:spacing w:line="543" w:lineRule="atLeast"/>
        <w:ind w:firstLine="435"/>
        <w:jc w:val="left"/>
        <w:rPr>
          <w:rFonts w:ascii="Arial" w:hAnsi="Arial" w:cs="Arial"/>
          <w:color w:val="000000"/>
          <w:kern w:val="0"/>
          <w:sz w:val="19"/>
          <w:szCs w:val="19"/>
        </w:rPr>
      </w:pPr>
      <w:r>
        <w:rPr>
          <w:rFonts w:hint="eastAsia" w:ascii="仿宋_GB2312" w:hAnsi="Arial" w:eastAsia="仿宋_GB2312" w:cs="Arial"/>
          <w:color w:val="000000"/>
          <w:kern w:val="0"/>
          <w:sz w:val="22"/>
          <w:szCs w:val="22"/>
        </w:rPr>
        <w:t>因未按规定时间进行补正说明，不予受理9件，占11.25%。</w:t>
      </w:r>
    </w:p>
    <w:p>
      <w:pPr>
        <w:widowControl/>
        <w:spacing w:line="543" w:lineRule="atLeast"/>
        <w:ind w:firstLine="584"/>
        <w:jc w:val="left"/>
        <w:rPr>
          <w:rFonts w:ascii="Arial" w:hAnsi="Arial" w:cs="Arial"/>
          <w:color w:val="000000"/>
          <w:kern w:val="0"/>
          <w:sz w:val="19"/>
          <w:szCs w:val="19"/>
        </w:rPr>
      </w:pPr>
      <w:r>
        <w:rPr>
          <w:rFonts w:hint="eastAsia" w:ascii="仿宋_GB2312" w:hAnsi="Arial" w:eastAsia="仿宋_GB2312" w:cs="Arial"/>
          <w:color w:val="000000"/>
          <w:kern w:val="0"/>
          <w:sz w:val="29"/>
          <w:szCs w:val="29"/>
        </w:rPr>
        <w:t> </w:t>
      </w:r>
    </w:p>
    <w:tbl>
      <w:tblPr>
        <w:tblStyle w:val="5"/>
        <w:tblW w:w="9075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551"/>
        <w:gridCol w:w="1419"/>
        <w:gridCol w:w="2815"/>
        <w:gridCol w:w="851"/>
        <w:gridCol w:w="568"/>
        <w:gridCol w:w="568"/>
        <w:gridCol w:w="568"/>
        <w:gridCol w:w="568"/>
        <w:gridCol w:w="539"/>
        <w:gridCol w:w="628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80" w:hRule="atLeast"/>
          <w:jc w:val="center"/>
        </w:trPr>
        <w:tc>
          <w:tcPr>
            <w:tcW w:w="4785" w:type="dxa"/>
            <w:gridSpan w:val="3"/>
            <w:vMerge w:val="restar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（本列数据的勾稽关系为：第一项加第二项之和，</w:t>
            </w:r>
          </w:p>
          <w:p>
            <w:pPr>
              <w:widowControl/>
              <w:spacing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等于第三项加第四项之和）</w:t>
            </w:r>
          </w:p>
        </w:tc>
        <w:tc>
          <w:tcPr>
            <w:tcW w:w="4290" w:type="dxa"/>
            <w:gridSpan w:val="7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285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申请人情况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80" w:hRule="atLeast"/>
          <w:jc w:val="center"/>
        </w:trPr>
        <w:tc>
          <w:tcPr>
            <w:tcW w:w="4785" w:type="dxa"/>
            <w:gridSpan w:val="3"/>
            <w:vMerge w:val="continue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9"/>
                <w:szCs w:val="19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自然人</w:t>
            </w:r>
          </w:p>
        </w:tc>
        <w:tc>
          <w:tcPr>
            <w:tcW w:w="2811" w:type="dxa"/>
            <w:gridSpan w:val="5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285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法人或其他组织</w:t>
            </w:r>
          </w:p>
        </w:tc>
        <w:tc>
          <w:tcPr>
            <w:tcW w:w="628" w:type="dxa"/>
            <w:vMerge w:val="restart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总计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19" w:hRule="atLeast"/>
          <w:jc w:val="center"/>
        </w:trPr>
        <w:tc>
          <w:tcPr>
            <w:tcW w:w="4785" w:type="dxa"/>
            <w:gridSpan w:val="3"/>
            <w:vMerge w:val="continue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9"/>
                <w:szCs w:val="19"/>
              </w:rPr>
            </w:pPr>
          </w:p>
        </w:tc>
        <w:tc>
          <w:tcPr>
            <w:tcW w:w="851" w:type="dxa"/>
            <w:vMerge w:val="continue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9"/>
                <w:szCs w:val="19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285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商业企业</w:t>
            </w:r>
          </w:p>
        </w:tc>
        <w:tc>
          <w:tcPr>
            <w:tcW w:w="56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285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科研机构</w:t>
            </w:r>
          </w:p>
        </w:tc>
        <w:tc>
          <w:tcPr>
            <w:tcW w:w="568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285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社会公益组织</w:t>
            </w:r>
          </w:p>
        </w:tc>
        <w:tc>
          <w:tcPr>
            <w:tcW w:w="568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285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法律服务机构</w:t>
            </w:r>
          </w:p>
        </w:tc>
        <w:tc>
          <w:tcPr>
            <w:tcW w:w="539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326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其他</w:t>
            </w:r>
          </w:p>
        </w:tc>
        <w:tc>
          <w:tcPr>
            <w:tcW w:w="628" w:type="dxa"/>
            <w:vMerge w:val="continue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9"/>
                <w:szCs w:val="19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4785" w:type="dxa"/>
            <w:gridSpan w:val="3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left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一、本年新收政府信息公开申请数量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62</w:t>
            </w:r>
          </w:p>
        </w:tc>
        <w:tc>
          <w:tcPr>
            <w:tcW w:w="56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1</w:t>
            </w:r>
          </w:p>
        </w:tc>
        <w:tc>
          <w:tcPr>
            <w:tcW w:w="56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13</w:t>
            </w:r>
          </w:p>
        </w:tc>
        <w:tc>
          <w:tcPr>
            <w:tcW w:w="539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62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76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4785" w:type="dxa"/>
            <w:gridSpan w:val="3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left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二、上年结转政府信息公开申请数量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4</w:t>
            </w:r>
          </w:p>
        </w:tc>
        <w:tc>
          <w:tcPr>
            <w:tcW w:w="56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62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4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551" w:type="dxa"/>
            <w:vMerge w:val="restart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left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三、本年度办理结果</w:t>
            </w:r>
          </w:p>
        </w:tc>
        <w:tc>
          <w:tcPr>
            <w:tcW w:w="4234" w:type="dxa"/>
            <w:gridSpan w:val="2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left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楷体" w:hAnsi="楷体" w:eastAsia="楷体" w:cs="宋体"/>
                <w:kern w:val="0"/>
                <w:sz w:val="18"/>
                <w:szCs w:val="18"/>
              </w:rPr>
              <w:t>（一）予以公开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39</w:t>
            </w:r>
          </w:p>
        </w:tc>
        <w:tc>
          <w:tcPr>
            <w:tcW w:w="56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628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39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551" w:type="dxa"/>
            <w:vMerge w:val="continue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9"/>
                <w:szCs w:val="19"/>
              </w:rPr>
            </w:pPr>
          </w:p>
        </w:tc>
        <w:tc>
          <w:tcPr>
            <w:tcW w:w="4234" w:type="dxa"/>
            <w:gridSpan w:val="2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left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楷体" w:hAnsi="楷体" w:eastAsia="楷体" w:cs="宋体"/>
                <w:kern w:val="0"/>
                <w:sz w:val="18"/>
                <w:szCs w:val="18"/>
              </w:rPr>
              <w:t>（二）部分公开（区分处理的，只计这一情形，不计其他情形）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3</w:t>
            </w:r>
          </w:p>
        </w:tc>
        <w:tc>
          <w:tcPr>
            <w:tcW w:w="56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1</w:t>
            </w:r>
          </w:p>
        </w:tc>
        <w:tc>
          <w:tcPr>
            <w:tcW w:w="56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62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4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8" w:hRule="atLeast"/>
          <w:jc w:val="center"/>
        </w:trPr>
        <w:tc>
          <w:tcPr>
            <w:tcW w:w="551" w:type="dxa"/>
            <w:vMerge w:val="continue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9"/>
                <w:szCs w:val="19"/>
              </w:rPr>
            </w:pPr>
          </w:p>
        </w:tc>
        <w:tc>
          <w:tcPr>
            <w:tcW w:w="1419" w:type="dxa"/>
            <w:vMerge w:val="restart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177" w:lineRule="atLeast"/>
              <w:jc w:val="left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楷体" w:hAnsi="楷体" w:eastAsia="楷体" w:cs="宋体"/>
                <w:kern w:val="0"/>
                <w:sz w:val="18"/>
                <w:szCs w:val="18"/>
              </w:rPr>
              <w:t>（三）不予公开</w:t>
            </w:r>
          </w:p>
        </w:tc>
        <w:tc>
          <w:tcPr>
            <w:tcW w:w="281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177" w:lineRule="atLeast"/>
              <w:jc w:val="left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楷体" w:hAnsi="楷体" w:eastAsia="楷体" w:cs="宋体"/>
                <w:kern w:val="0"/>
                <w:sz w:val="18"/>
                <w:szCs w:val="18"/>
              </w:rPr>
              <w:t>1.属于国家秘密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177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2</w:t>
            </w:r>
          </w:p>
        </w:tc>
        <w:tc>
          <w:tcPr>
            <w:tcW w:w="56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177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628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2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8" w:hRule="atLeast"/>
          <w:jc w:val="center"/>
        </w:trPr>
        <w:tc>
          <w:tcPr>
            <w:tcW w:w="551" w:type="dxa"/>
            <w:vMerge w:val="continue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9"/>
                <w:szCs w:val="19"/>
              </w:rPr>
            </w:pPr>
          </w:p>
        </w:tc>
        <w:tc>
          <w:tcPr>
            <w:tcW w:w="1419" w:type="dxa"/>
            <w:vMerge w:val="continue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9"/>
                <w:szCs w:val="19"/>
              </w:rPr>
            </w:pPr>
          </w:p>
        </w:tc>
        <w:tc>
          <w:tcPr>
            <w:tcW w:w="281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177" w:lineRule="atLeast"/>
              <w:jc w:val="left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楷体" w:hAnsi="楷体" w:eastAsia="楷体" w:cs="宋体"/>
                <w:kern w:val="0"/>
                <w:sz w:val="18"/>
                <w:szCs w:val="18"/>
              </w:rPr>
              <w:t>2.其他法律行政法规禁止公开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177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177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62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8" w:hRule="atLeast"/>
          <w:jc w:val="center"/>
        </w:trPr>
        <w:tc>
          <w:tcPr>
            <w:tcW w:w="551" w:type="dxa"/>
            <w:vMerge w:val="continue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9"/>
                <w:szCs w:val="19"/>
              </w:rPr>
            </w:pPr>
          </w:p>
        </w:tc>
        <w:tc>
          <w:tcPr>
            <w:tcW w:w="1419" w:type="dxa"/>
            <w:vMerge w:val="continue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9"/>
                <w:szCs w:val="19"/>
              </w:rPr>
            </w:pPr>
          </w:p>
        </w:tc>
        <w:tc>
          <w:tcPr>
            <w:tcW w:w="281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177" w:lineRule="atLeast"/>
              <w:jc w:val="left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楷体" w:hAnsi="楷体" w:eastAsia="楷体" w:cs="宋体"/>
                <w:kern w:val="0"/>
                <w:sz w:val="18"/>
                <w:szCs w:val="18"/>
              </w:rPr>
              <w:t>3.危及“三安全一稳定”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177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177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62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8" w:hRule="atLeast"/>
          <w:jc w:val="center"/>
        </w:trPr>
        <w:tc>
          <w:tcPr>
            <w:tcW w:w="551" w:type="dxa"/>
            <w:vMerge w:val="continue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9"/>
                <w:szCs w:val="19"/>
              </w:rPr>
            </w:pPr>
          </w:p>
        </w:tc>
        <w:tc>
          <w:tcPr>
            <w:tcW w:w="1419" w:type="dxa"/>
            <w:vMerge w:val="continue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9"/>
                <w:szCs w:val="19"/>
              </w:rPr>
            </w:pPr>
          </w:p>
        </w:tc>
        <w:tc>
          <w:tcPr>
            <w:tcW w:w="281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177" w:lineRule="atLeast"/>
              <w:jc w:val="left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楷体" w:hAnsi="楷体" w:eastAsia="楷体" w:cs="宋体"/>
                <w:kern w:val="0"/>
                <w:sz w:val="18"/>
                <w:szCs w:val="18"/>
              </w:rPr>
              <w:t>4.保护第三方合法权益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177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177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62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8" w:hRule="atLeast"/>
          <w:jc w:val="center"/>
        </w:trPr>
        <w:tc>
          <w:tcPr>
            <w:tcW w:w="551" w:type="dxa"/>
            <w:vMerge w:val="continue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9"/>
                <w:szCs w:val="19"/>
              </w:rPr>
            </w:pPr>
          </w:p>
        </w:tc>
        <w:tc>
          <w:tcPr>
            <w:tcW w:w="1419" w:type="dxa"/>
            <w:vMerge w:val="continue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9"/>
                <w:szCs w:val="19"/>
              </w:rPr>
            </w:pPr>
          </w:p>
        </w:tc>
        <w:tc>
          <w:tcPr>
            <w:tcW w:w="281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177" w:lineRule="atLeast"/>
              <w:jc w:val="left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楷体" w:hAnsi="楷体" w:eastAsia="楷体" w:cs="宋体"/>
                <w:kern w:val="0"/>
                <w:sz w:val="18"/>
                <w:szCs w:val="18"/>
              </w:rPr>
              <w:t>5.属于三类内部事务信息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177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1</w:t>
            </w:r>
          </w:p>
        </w:tc>
        <w:tc>
          <w:tcPr>
            <w:tcW w:w="56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177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62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1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8" w:hRule="atLeast"/>
          <w:jc w:val="center"/>
        </w:trPr>
        <w:tc>
          <w:tcPr>
            <w:tcW w:w="551" w:type="dxa"/>
            <w:vMerge w:val="continue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9"/>
                <w:szCs w:val="19"/>
              </w:rPr>
            </w:pPr>
          </w:p>
        </w:tc>
        <w:tc>
          <w:tcPr>
            <w:tcW w:w="1419" w:type="dxa"/>
            <w:vMerge w:val="continue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9"/>
                <w:szCs w:val="19"/>
              </w:rPr>
            </w:pPr>
          </w:p>
        </w:tc>
        <w:tc>
          <w:tcPr>
            <w:tcW w:w="281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177" w:lineRule="atLeast"/>
              <w:jc w:val="left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楷体" w:hAnsi="楷体" w:eastAsia="楷体" w:cs="宋体"/>
                <w:kern w:val="0"/>
                <w:sz w:val="18"/>
                <w:szCs w:val="18"/>
              </w:rPr>
              <w:t>6.属于四类过程性信息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177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177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62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8" w:hRule="atLeast"/>
          <w:jc w:val="center"/>
        </w:trPr>
        <w:tc>
          <w:tcPr>
            <w:tcW w:w="551" w:type="dxa"/>
            <w:vMerge w:val="continue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9"/>
                <w:szCs w:val="19"/>
              </w:rPr>
            </w:pPr>
          </w:p>
        </w:tc>
        <w:tc>
          <w:tcPr>
            <w:tcW w:w="1419" w:type="dxa"/>
            <w:vMerge w:val="continue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9"/>
                <w:szCs w:val="19"/>
              </w:rPr>
            </w:pPr>
          </w:p>
        </w:tc>
        <w:tc>
          <w:tcPr>
            <w:tcW w:w="281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177" w:lineRule="atLeast"/>
              <w:jc w:val="left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楷体" w:hAnsi="楷体" w:eastAsia="楷体" w:cs="宋体"/>
                <w:kern w:val="0"/>
                <w:sz w:val="18"/>
                <w:szCs w:val="18"/>
              </w:rPr>
              <w:t>7.属于行政执法案卷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177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177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62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8" w:hRule="atLeast"/>
          <w:jc w:val="center"/>
        </w:trPr>
        <w:tc>
          <w:tcPr>
            <w:tcW w:w="551" w:type="dxa"/>
            <w:vMerge w:val="continue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9"/>
                <w:szCs w:val="19"/>
              </w:rPr>
            </w:pPr>
          </w:p>
        </w:tc>
        <w:tc>
          <w:tcPr>
            <w:tcW w:w="1419" w:type="dxa"/>
            <w:vMerge w:val="continue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9"/>
                <w:szCs w:val="19"/>
              </w:rPr>
            </w:pPr>
          </w:p>
        </w:tc>
        <w:tc>
          <w:tcPr>
            <w:tcW w:w="281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177" w:lineRule="atLeast"/>
              <w:jc w:val="left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楷体" w:hAnsi="楷体" w:eastAsia="楷体" w:cs="宋体"/>
                <w:kern w:val="0"/>
                <w:sz w:val="18"/>
                <w:szCs w:val="18"/>
              </w:rPr>
              <w:t>8.属于行政查询事项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177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177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62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8" w:hRule="atLeast"/>
          <w:jc w:val="center"/>
        </w:trPr>
        <w:tc>
          <w:tcPr>
            <w:tcW w:w="551" w:type="dxa"/>
            <w:vMerge w:val="continue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9"/>
                <w:szCs w:val="19"/>
              </w:rPr>
            </w:pPr>
          </w:p>
        </w:tc>
        <w:tc>
          <w:tcPr>
            <w:tcW w:w="1419" w:type="dxa"/>
            <w:vMerge w:val="restart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177" w:lineRule="atLeast"/>
              <w:jc w:val="left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楷体" w:hAnsi="楷体" w:eastAsia="楷体" w:cs="宋体"/>
                <w:kern w:val="0"/>
                <w:sz w:val="18"/>
                <w:szCs w:val="18"/>
              </w:rPr>
              <w:t>（四）无法提供</w:t>
            </w:r>
          </w:p>
        </w:tc>
        <w:tc>
          <w:tcPr>
            <w:tcW w:w="281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177" w:lineRule="atLeast"/>
              <w:jc w:val="left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楷体" w:hAnsi="楷体" w:eastAsia="楷体" w:cs="宋体"/>
                <w:kern w:val="0"/>
                <w:sz w:val="18"/>
                <w:szCs w:val="18"/>
              </w:rPr>
              <w:t>1.本机关不掌握相关政府信息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177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11</w:t>
            </w:r>
          </w:p>
        </w:tc>
        <w:tc>
          <w:tcPr>
            <w:tcW w:w="56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177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1</w:t>
            </w:r>
          </w:p>
        </w:tc>
        <w:tc>
          <w:tcPr>
            <w:tcW w:w="56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13</w:t>
            </w:r>
          </w:p>
        </w:tc>
        <w:tc>
          <w:tcPr>
            <w:tcW w:w="539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62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25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8" w:hRule="atLeast"/>
          <w:jc w:val="center"/>
        </w:trPr>
        <w:tc>
          <w:tcPr>
            <w:tcW w:w="551" w:type="dxa"/>
            <w:vMerge w:val="continue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9"/>
                <w:szCs w:val="19"/>
              </w:rPr>
            </w:pPr>
          </w:p>
        </w:tc>
        <w:tc>
          <w:tcPr>
            <w:tcW w:w="1419" w:type="dxa"/>
            <w:vMerge w:val="continue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9"/>
                <w:szCs w:val="19"/>
              </w:rPr>
            </w:pPr>
          </w:p>
        </w:tc>
        <w:tc>
          <w:tcPr>
            <w:tcW w:w="281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177" w:lineRule="atLeast"/>
              <w:jc w:val="left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楷体" w:hAnsi="楷体" w:eastAsia="楷体" w:cs="宋体"/>
                <w:kern w:val="0"/>
                <w:sz w:val="18"/>
                <w:szCs w:val="18"/>
              </w:rPr>
              <w:t>2.没有现成信息需要另行制作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177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177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62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8" w:hRule="atLeast"/>
          <w:jc w:val="center"/>
        </w:trPr>
        <w:tc>
          <w:tcPr>
            <w:tcW w:w="551" w:type="dxa"/>
            <w:vMerge w:val="continue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9"/>
                <w:szCs w:val="19"/>
              </w:rPr>
            </w:pPr>
          </w:p>
        </w:tc>
        <w:tc>
          <w:tcPr>
            <w:tcW w:w="1419" w:type="dxa"/>
            <w:vMerge w:val="continue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9"/>
                <w:szCs w:val="19"/>
              </w:rPr>
            </w:pPr>
          </w:p>
        </w:tc>
        <w:tc>
          <w:tcPr>
            <w:tcW w:w="281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177" w:lineRule="atLeast"/>
              <w:jc w:val="left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楷体" w:hAnsi="楷体" w:eastAsia="楷体" w:cs="宋体"/>
                <w:kern w:val="0"/>
                <w:sz w:val="18"/>
                <w:szCs w:val="18"/>
              </w:rPr>
              <w:t>3.补正后申请内容仍不明确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177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9</w:t>
            </w:r>
          </w:p>
        </w:tc>
        <w:tc>
          <w:tcPr>
            <w:tcW w:w="56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177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62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9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8" w:hRule="atLeast"/>
          <w:jc w:val="center"/>
        </w:trPr>
        <w:tc>
          <w:tcPr>
            <w:tcW w:w="551" w:type="dxa"/>
            <w:vMerge w:val="continue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9"/>
                <w:szCs w:val="19"/>
              </w:rPr>
            </w:pPr>
          </w:p>
        </w:tc>
        <w:tc>
          <w:tcPr>
            <w:tcW w:w="1419" w:type="dxa"/>
            <w:vMerge w:val="restart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177" w:lineRule="atLeast"/>
              <w:jc w:val="left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楷体" w:hAnsi="楷体" w:eastAsia="楷体" w:cs="宋体"/>
                <w:kern w:val="0"/>
                <w:sz w:val="18"/>
                <w:szCs w:val="18"/>
              </w:rPr>
              <w:t>（五）不予处理</w:t>
            </w:r>
          </w:p>
        </w:tc>
        <w:tc>
          <w:tcPr>
            <w:tcW w:w="281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177" w:lineRule="atLeast"/>
              <w:jc w:val="left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楷体" w:hAnsi="楷体" w:eastAsia="楷体" w:cs="宋体"/>
                <w:kern w:val="0"/>
                <w:sz w:val="18"/>
                <w:szCs w:val="18"/>
              </w:rPr>
              <w:t>1.信访举报投诉类申请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177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177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62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8" w:hRule="atLeast"/>
          <w:jc w:val="center"/>
        </w:trPr>
        <w:tc>
          <w:tcPr>
            <w:tcW w:w="551" w:type="dxa"/>
            <w:vMerge w:val="continue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9"/>
                <w:szCs w:val="19"/>
              </w:rPr>
            </w:pPr>
          </w:p>
        </w:tc>
        <w:tc>
          <w:tcPr>
            <w:tcW w:w="1419" w:type="dxa"/>
            <w:vMerge w:val="continue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9"/>
                <w:szCs w:val="19"/>
              </w:rPr>
            </w:pPr>
          </w:p>
        </w:tc>
        <w:tc>
          <w:tcPr>
            <w:tcW w:w="281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177" w:lineRule="atLeast"/>
              <w:jc w:val="left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楷体" w:hAnsi="楷体" w:eastAsia="楷体" w:cs="宋体"/>
                <w:kern w:val="0"/>
                <w:sz w:val="18"/>
                <w:szCs w:val="18"/>
              </w:rPr>
              <w:t>2.重复申请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177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177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62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8" w:hRule="atLeast"/>
          <w:jc w:val="center"/>
        </w:trPr>
        <w:tc>
          <w:tcPr>
            <w:tcW w:w="551" w:type="dxa"/>
            <w:vMerge w:val="continue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9"/>
                <w:szCs w:val="19"/>
              </w:rPr>
            </w:pPr>
          </w:p>
        </w:tc>
        <w:tc>
          <w:tcPr>
            <w:tcW w:w="1419" w:type="dxa"/>
            <w:vMerge w:val="continue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9"/>
                <w:szCs w:val="19"/>
              </w:rPr>
            </w:pPr>
          </w:p>
        </w:tc>
        <w:tc>
          <w:tcPr>
            <w:tcW w:w="281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177" w:lineRule="atLeast"/>
              <w:jc w:val="left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楷体" w:hAnsi="楷体" w:eastAsia="楷体" w:cs="宋体"/>
                <w:kern w:val="0"/>
                <w:sz w:val="18"/>
                <w:szCs w:val="18"/>
              </w:rPr>
              <w:t>3.要求提供公开出版物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177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177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62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53" w:hRule="atLeast"/>
          <w:jc w:val="center"/>
        </w:trPr>
        <w:tc>
          <w:tcPr>
            <w:tcW w:w="551" w:type="dxa"/>
            <w:vMerge w:val="continue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9"/>
                <w:szCs w:val="19"/>
              </w:rPr>
            </w:pPr>
          </w:p>
        </w:tc>
        <w:tc>
          <w:tcPr>
            <w:tcW w:w="1419" w:type="dxa"/>
            <w:vMerge w:val="continue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9"/>
                <w:szCs w:val="19"/>
              </w:rPr>
            </w:pPr>
          </w:p>
        </w:tc>
        <w:tc>
          <w:tcPr>
            <w:tcW w:w="281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177" w:lineRule="atLeast"/>
              <w:jc w:val="left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楷体" w:hAnsi="楷体" w:eastAsia="楷体" w:cs="宋体"/>
                <w:kern w:val="0"/>
                <w:sz w:val="18"/>
                <w:szCs w:val="18"/>
              </w:rPr>
              <w:t>4.无正当理由大量反复申请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177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177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62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551" w:type="dxa"/>
            <w:vMerge w:val="continue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9"/>
                <w:szCs w:val="19"/>
              </w:rPr>
            </w:pPr>
          </w:p>
        </w:tc>
        <w:tc>
          <w:tcPr>
            <w:tcW w:w="1419" w:type="dxa"/>
            <w:vMerge w:val="continue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9"/>
                <w:szCs w:val="19"/>
              </w:rPr>
            </w:pPr>
          </w:p>
        </w:tc>
        <w:tc>
          <w:tcPr>
            <w:tcW w:w="281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272" w:lineRule="atLeast"/>
              <w:jc w:val="left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楷体" w:hAnsi="楷体" w:eastAsia="楷体" w:cs="宋体"/>
                <w:kern w:val="0"/>
                <w:sz w:val="18"/>
                <w:szCs w:val="18"/>
              </w:rPr>
              <w:t>5.要求行政机关确认或重新</w:t>
            </w:r>
          </w:p>
          <w:p>
            <w:pPr>
              <w:widowControl/>
              <w:spacing w:line="272" w:lineRule="atLeast"/>
              <w:ind w:firstLine="177"/>
              <w:jc w:val="left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楷体" w:hAnsi="楷体" w:eastAsia="楷体" w:cs="宋体"/>
                <w:kern w:val="0"/>
                <w:sz w:val="18"/>
                <w:szCs w:val="18"/>
              </w:rPr>
              <w:t>出具已获取信息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177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177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62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53" w:hRule="atLeast"/>
          <w:jc w:val="center"/>
        </w:trPr>
        <w:tc>
          <w:tcPr>
            <w:tcW w:w="551" w:type="dxa"/>
            <w:vMerge w:val="continue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9"/>
                <w:szCs w:val="19"/>
              </w:rPr>
            </w:pPr>
          </w:p>
        </w:tc>
        <w:tc>
          <w:tcPr>
            <w:tcW w:w="4234" w:type="dxa"/>
            <w:gridSpan w:val="2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177" w:lineRule="atLeast"/>
              <w:jc w:val="left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楷体" w:hAnsi="楷体" w:eastAsia="楷体" w:cs="宋体"/>
                <w:kern w:val="0"/>
                <w:sz w:val="18"/>
                <w:szCs w:val="18"/>
              </w:rPr>
              <w:t>（六）其他处理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177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177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62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53" w:hRule="atLeast"/>
          <w:jc w:val="center"/>
        </w:trPr>
        <w:tc>
          <w:tcPr>
            <w:tcW w:w="551" w:type="dxa"/>
            <w:vMerge w:val="continue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9"/>
                <w:szCs w:val="19"/>
              </w:rPr>
            </w:pPr>
          </w:p>
        </w:tc>
        <w:tc>
          <w:tcPr>
            <w:tcW w:w="4234" w:type="dxa"/>
            <w:gridSpan w:val="2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177" w:lineRule="atLeast"/>
              <w:jc w:val="left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楷体" w:hAnsi="楷体" w:eastAsia="楷体" w:cs="宋体"/>
                <w:kern w:val="0"/>
                <w:sz w:val="18"/>
                <w:szCs w:val="18"/>
              </w:rPr>
              <w:t>（七）总计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177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66</w:t>
            </w:r>
          </w:p>
        </w:tc>
        <w:tc>
          <w:tcPr>
            <w:tcW w:w="56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177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1</w:t>
            </w:r>
          </w:p>
        </w:tc>
        <w:tc>
          <w:tcPr>
            <w:tcW w:w="56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13</w:t>
            </w:r>
          </w:p>
        </w:tc>
        <w:tc>
          <w:tcPr>
            <w:tcW w:w="539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62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80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4785" w:type="dxa"/>
            <w:gridSpan w:val="3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left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四、结转下年度继续办理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62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</w:tr>
    </w:tbl>
    <w:p>
      <w:pPr>
        <w:widowControl/>
        <w:spacing w:line="543" w:lineRule="atLeast"/>
        <w:ind w:firstLine="584"/>
        <w:jc w:val="left"/>
        <w:rPr>
          <w:rFonts w:hint="eastAsia" w:ascii="宋体" w:hAnsi="宋体" w:cs="宋体"/>
          <w:color w:val="000000"/>
          <w:kern w:val="0"/>
          <w:sz w:val="29"/>
          <w:szCs w:val="29"/>
        </w:rPr>
      </w:pPr>
      <w:r>
        <w:drawing>
          <wp:inline distT="0" distB="0" distL="114300" distR="114300">
            <wp:extent cx="4572000" cy="2753995"/>
            <wp:effectExtent l="0" t="0" r="5080" b="9525"/>
            <wp:docPr id="4" name="图表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>
      <w:pPr>
        <w:widowControl/>
        <w:shd w:val="clear" w:color="auto" w:fill="FFFFFF"/>
        <w:spacing w:line="480" w:lineRule="atLeast"/>
        <w:ind w:firstLine="380"/>
        <w:rPr>
          <w:rFonts w:ascii="Arial" w:hAnsi="Arial" w:cs="Arial"/>
          <w:color w:val="000000"/>
          <w:kern w:val="0"/>
          <w:sz w:val="22"/>
          <w:szCs w:val="22"/>
        </w:rPr>
      </w:pPr>
      <w:r>
        <w:rPr>
          <w:rFonts w:hint="eastAsia" w:ascii="黑体" w:hAnsi="黑体" w:eastAsia="黑体" w:cs="Arial"/>
          <w:color w:val="333333"/>
          <w:kern w:val="0"/>
          <w:sz w:val="22"/>
          <w:szCs w:val="22"/>
        </w:rPr>
        <w:t>四、政府信息公开行政复议、行政诉讼情况</w:t>
      </w:r>
    </w:p>
    <w:tbl>
      <w:tblPr>
        <w:tblStyle w:val="5"/>
        <w:tblW w:w="9075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600"/>
        <w:gridCol w:w="600"/>
        <w:gridCol w:w="600"/>
        <w:gridCol w:w="600"/>
        <w:gridCol w:w="675"/>
        <w:gridCol w:w="555"/>
        <w:gridCol w:w="600"/>
        <w:gridCol w:w="600"/>
        <w:gridCol w:w="600"/>
        <w:gridCol w:w="615"/>
        <w:gridCol w:w="600"/>
        <w:gridCol w:w="600"/>
        <w:gridCol w:w="600"/>
        <w:gridCol w:w="600"/>
        <w:gridCol w:w="630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48" w:hRule="atLeast"/>
          <w:jc w:val="center"/>
        </w:trPr>
        <w:tc>
          <w:tcPr>
            <w:tcW w:w="3075" w:type="dxa"/>
            <w:gridSpan w:val="5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行政复议</w:t>
            </w:r>
          </w:p>
        </w:tc>
        <w:tc>
          <w:tcPr>
            <w:tcW w:w="6000" w:type="dxa"/>
            <w:gridSpan w:val="10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行政诉讼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9" w:hRule="atLeast"/>
          <w:jc w:val="center"/>
        </w:trPr>
        <w:tc>
          <w:tcPr>
            <w:tcW w:w="600" w:type="dxa"/>
            <w:vMerge w:val="restart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结果</w:t>
            </w:r>
          </w:p>
          <w:p>
            <w:pPr>
              <w:widowControl/>
              <w:spacing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维持</w:t>
            </w:r>
          </w:p>
        </w:tc>
        <w:tc>
          <w:tcPr>
            <w:tcW w:w="600" w:type="dxa"/>
            <w:vMerge w:val="restart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结果纠正</w:t>
            </w:r>
          </w:p>
        </w:tc>
        <w:tc>
          <w:tcPr>
            <w:tcW w:w="600" w:type="dxa"/>
            <w:vMerge w:val="restart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其他结果</w:t>
            </w:r>
          </w:p>
        </w:tc>
        <w:tc>
          <w:tcPr>
            <w:tcW w:w="600" w:type="dxa"/>
            <w:vMerge w:val="restart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尚未</w:t>
            </w:r>
          </w:p>
          <w:p>
            <w:pPr>
              <w:widowControl/>
              <w:spacing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审结</w:t>
            </w:r>
          </w:p>
        </w:tc>
        <w:tc>
          <w:tcPr>
            <w:tcW w:w="675" w:type="dxa"/>
            <w:vMerge w:val="restart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285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总</w:t>
            </w:r>
          </w:p>
          <w:p>
            <w:pPr>
              <w:widowControl/>
              <w:spacing w:line="285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计</w:t>
            </w:r>
          </w:p>
        </w:tc>
        <w:tc>
          <w:tcPr>
            <w:tcW w:w="2970" w:type="dxa"/>
            <w:gridSpan w:val="5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未经复议直接起诉</w:t>
            </w:r>
          </w:p>
        </w:tc>
        <w:tc>
          <w:tcPr>
            <w:tcW w:w="3030" w:type="dxa"/>
            <w:gridSpan w:val="5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复议后起诉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15" w:hRule="atLeast"/>
          <w:jc w:val="center"/>
        </w:trPr>
        <w:tc>
          <w:tcPr>
            <w:tcW w:w="600" w:type="dxa"/>
            <w:vMerge w:val="continue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9"/>
                <w:szCs w:val="19"/>
              </w:rPr>
            </w:pPr>
          </w:p>
        </w:tc>
        <w:tc>
          <w:tcPr>
            <w:tcW w:w="600" w:type="dxa"/>
            <w:vMerge w:val="continue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9"/>
                <w:szCs w:val="19"/>
              </w:rPr>
            </w:pPr>
          </w:p>
        </w:tc>
        <w:tc>
          <w:tcPr>
            <w:tcW w:w="600" w:type="dxa"/>
            <w:vMerge w:val="continue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9"/>
                <w:szCs w:val="19"/>
              </w:rPr>
            </w:pPr>
          </w:p>
        </w:tc>
        <w:tc>
          <w:tcPr>
            <w:tcW w:w="600" w:type="dxa"/>
            <w:vMerge w:val="continue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9"/>
                <w:szCs w:val="19"/>
              </w:rPr>
            </w:pPr>
          </w:p>
        </w:tc>
        <w:tc>
          <w:tcPr>
            <w:tcW w:w="675" w:type="dxa"/>
            <w:vMerge w:val="continue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9"/>
                <w:szCs w:val="19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结果维持</w:t>
            </w:r>
          </w:p>
        </w:tc>
        <w:tc>
          <w:tcPr>
            <w:tcW w:w="60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结果纠正</w:t>
            </w:r>
          </w:p>
        </w:tc>
        <w:tc>
          <w:tcPr>
            <w:tcW w:w="600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其他</w:t>
            </w:r>
          </w:p>
          <w:p>
            <w:pPr>
              <w:widowControl/>
              <w:spacing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结果</w:t>
            </w:r>
          </w:p>
        </w:tc>
        <w:tc>
          <w:tcPr>
            <w:tcW w:w="600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尚未</w:t>
            </w:r>
          </w:p>
          <w:p>
            <w:pPr>
              <w:widowControl/>
              <w:spacing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审结</w:t>
            </w:r>
          </w:p>
        </w:tc>
        <w:tc>
          <w:tcPr>
            <w:tcW w:w="615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总计</w:t>
            </w:r>
          </w:p>
        </w:tc>
        <w:tc>
          <w:tcPr>
            <w:tcW w:w="600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结果维持</w:t>
            </w:r>
          </w:p>
        </w:tc>
        <w:tc>
          <w:tcPr>
            <w:tcW w:w="600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结果</w:t>
            </w:r>
          </w:p>
          <w:p>
            <w:pPr>
              <w:widowControl/>
              <w:spacing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纠正</w:t>
            </w:r>
          </w:p>
        </w:tc>
        <w:tc>
          <w:tcPr>
            <w:tcW w:w="600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其他</w:t>
            </w:r>
          </w:p>
          <w:p>
            <w:pPr>
              <w:widowControl/>
              <w:spacing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结果</w:t>
            </w:r>
          </w:p>
        </w:tc>
        <w:tc>
          <w:tcPr>
            <w:tcW w:w="600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尚未审结</w:t>
            </w:r>
          </w:p>
        </w:tc>
        <w:tc>
          <w:tcPr>
            <w:tcW w:w="630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总计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600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67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2</w:t>
            </w:r>
          </w:p>
        </w:tc>
        <w:tc>
          <w:tcPr>
            <w:tcW w:w="55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61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after="163"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>
            <w:pPr>
              <w:widowControl/>
              <w:spacing w:line="480" w:lineRule="atLeast"/>
              <w:jc w:val="center"/>
              <w:rPr>
                <w:rFonts w:ascii="宋体" w:hAnsi="宋体" w:cs="宋体"/>
                <w:kern w:val="0"/>
                <w:sz w:val="19"/>
                <w:szCs w:val="19"/>
              </w:rPr>
            </w:pPr>
            <w:r>
              <w:rPr>
                <w:rFonts w:hint="eastAsia" w:ascii="宋体" w:hAnsi="宋体" w:cs="宋体"/>
                <w:kern w:val="0"/>
                <w:sz w:val="19"/>
                <w:szCs w:val="19"/>
              </w:rPr>
              <w:t>0</w:t>
            </w:r>
          </w:p>
        </w:tc>
      </w:tr>
    </w:tbl>
    <w:p>
      <w:pPr>
        <w:widowControl/>
        <w:spacing w:line="543" w:lineRule="atLeast"/>
        <w:ind w:firstLine="435"/>
        <w:jc w:val="left"/>
        <w:rPr>
          <w:rFonts w:ascii="Arial" w:hAnsi="Arial" w:cs="Arial"/>
          <w:color w:val="000000"/>
          <w:kern w:val="0"/>
          <w:sz w:val="19"/>
          <w:szCs w:val="19"/>
        </w:rPr>
      </w:pPr>
      <w:r>
        <w:rPr>
          <w:rFonts w:hint="eastAsia" w:ascii="黑体" w:hAnsi="黑体" w:eastAsia="黑体" w:cs="Arial"/>
          <w:color w:val="000000"/>
          <w:kern w:val="0"/>
          <w:sz w:val="22"/>
          <w:szCs w:val="22"/>
        </w:rPr>
        <w:t>五、存在的问题及改进情况</w:t>
      </w:r>
    </w:p>
    <w:p>
      <w:pPr>
        <w:widowControl/>
        <w:spacing w:line="543" w:lineRule="atLeast"/>
        <w:ind w:firstLine="435"/>
        <w:jc w:val="left"/>
        <w:rPr>
          <w:rFonts w:ascii="Arial" w:hAnsi="Arial" w:cs="Arial"/>
          <w:color w:val="000000"/>
          <w:kern w:val="0"/>
          <w:sz w:val="19"/>
          <w:szCs w:val="19"/>
        </w:rPr>
      </w:pPr>
      <w:r>
        <w:rPr>
          <w:rFonts w:hint="eastAsia" w:ascii="仿宋_GB2312" w:hAnsi="Arial" w:eastAsia="仿宋_GB2312" w:cs="Arial"/>
          <w:color w:val="000000"/>
          <w:kern w:val="0"/>
          <w:sz w:val="22"/>
          <w:szCs w:val="22"/>
        </w:rPr>
        <w:t>2019年，财政信息公开工作取得一定成效，但这项工作总体上还处于不断探索阶段，与省政府办公厅要求相比还有一定差距。主要表现为“三个不够”：</w:t>
      </w:r>
      <w:r>
        <w:rPr>
          <w:rFonts w:hint="eastAsia" w:ascii="仿宋_GB2312" w:hAnsi="Arial" w:eastAsia="仿宋_GB2312" w:cs="Arial"/>
          <w:b/>
          <w:bCs/>
          <w:color w:val="000000"/>
          <w:kern w:val="0"/>
          <w:sz w:val="22"/>
        </w:rPr>
        <w:t>一是主动公开的意识不够高。</w:t>
      </w:r>
      <w:r>
        <w:rPr>
          <w:rFonts w:hint="eastAsia" w:ascii="仿宋_GB2312" w:hAnsi="Arial" w:eastAsia="仿宋_GB2312" w:cs="Arial"/>
          <w:color w:val="000000"/>
          <w:kern w:val="0"/>
          <w:sz w:val="22"/>
          <w:szCs w:val="22"/>
        </w:rPr>
        <w:t>比如，在利用好厅门户网站公开主渠道上不够主动，不少厅内处室存在“推一推，动一动”或者“有公开需要时再动”的现象。规范性文件出台前向省直部门间征求意见多，而征求相关社会公众意见方面做得比较少。</w:t>
      </w:r>
      <w:r>
        <w:rPr>
          <w:rFonts w:hint="eastAsia" w:ascii="仿宋_GB2312" w:hAnsi="Arial" w:eastAsia="仿宋_GB2312" w:cs="Arial"/>
          <w:b/>
          <w:bCs/>
          <w:color w:val="000000"/>
          <w:kern w:val="0"/>
          <w:sz w:val="22"/>
        </w:rPr>
        <w:t>二是重点领域信息公开的内容不够广。</w:t>
      </w:r>
      <w:r>
        <w:rPr>
          <w:rFonts w:hint="eastAsia" w:ascii="仿宋_GB2312" w:hAnsi="Arial" w:eastAsia="仿宋_GB2312" w:cs="Arial"/>
          <w:color w:val="000000"/>
          <w:kern w:val="0"/>
          <w:sz w:val="22"/>
          <w:szCs w:val="22"/>
        </w:rPr>
        <w:t>在会议公开方面，邀请利益相关方、公众代表、专家、媒体等列席部门办公会次数较少。厅长办公会议公开内容不够全面，形式不够丰富多样。</w:t>
      </w:r>
      <w:r>
        <w:rPr>
          <w:rFonts w:hint="eastAsia" w:ascii="仿宋_GB2312" w:hAnsi="Arial" w:eastAsia="仿宋_GB2312" w:cs="Arial"/>
          <w:b/>
          <w:bCs/>
          <w:color w:val="000000"/>
          <w:kern w:val="0"/>
          <w:sz w:val="22"/>
        </w:rPr>
        <w:t>三是基层信息公开落实力度不够大。</w:t>
      </w:r>
      <w:r>
        <w:rPr>
          <w:rFonts w:hint="eastAsia" w:ascii="仿宋_GB2312" w:hAnsi="Arial" w:eastAsia="仿宋_GB2312" w:cs="Arial"/>
          <w:color w:val="000000"/>
          <w:kern w:val="0"/>
          <w:sz w:val="22"/>
          <w:szCs w:val="22"/>
        </w:rPr>
        <w:t>目前更多地强调横向处室方面的沟通配合，对纵向省市县系统内的监督指导方面做得还不够。部分基层财政部门的公开意识不强，与群众切身利益、方便群众办事、群众关心关注的信息公开不及时、不全面、不具体，公开方式单一化、陈旧化，与真正畅通联系群众“最后一公里”还有距离。对此，省财政厅重点做了以下几个方面的工作：</w:t>
      </w:r>
    </w:p>
    <w:p>
      <w:pPr>
        <w:widowControl/>
        <w:spacing w:line="530" w:lineRule="atLeast"/>
        <w:ind w:firstLine="480"/>
        <w:jc w:val="left"/>
        <w:rPr>
          <w:rFonts w:ascii="Arial" w:hAnsi="Arial" w:cs="Arial"/>
          <w:color w:val="000000"/>
          <w:kern w:val="0"/>
          <w:sz w:val="19"/>
          <w:szCs w:val="19"/>
        </w:rPr>
      </w:pPr>
      <w:r>
        <w:rPr>
          <w:rFonts w:hint="eastAsia" w:ascii="黑体" w:hAnsi="黑体" w:eastAsia="黑体" w:cs="Arial"/>
          <w:color w:val="000000"/>
          <w:kern w:val="0"/>
          <w:sz w:val="22"/>
          <w:szCs w:val="22"/>
        </w:rPr>
        <w:t>一是创新组织形式。</w:t>
      </w:r>
      <w:r>
        <w:rPr>
          <w:rFonts w:hint="eastAsia" w:ascii="仿宋_GB2312" w:hAnsi="Arial" w:eastAsia="仿宋_GB2312" w:cs="Arial"/>
          <w:b/>
          <w:bCs/>
          <w:color w:val="000000"/>
          <w:kern w:val="0"/>
          <w:sz w:val="22"/>
        </w:rPr>
        <w:t>横向上，</w:t>
      </w:r>
      <w:r>
        <w:rPr>
          <w:rFonts w:hint="eastAsia" w:ascii="仿宋_GB2312" w:hAnsi="Arial" w:eastAsia="仿宋_GB2312" w:cs="Arial"/>
          <w:color w:val="000000"/>
          <w:kern w:val="0"/>
          <w:sz w:val="22"/>
          <w:szCs w:val="22"/>
        </w:rPr>
        <w:t>办公室作为政务公开的牵头处室，安排1人专门负责日常和组织协调工作；办公室、法规处、税政处、预算处、农业农村处、预算绩效管理处、PPP管理中心分别负责建提案办理、财政“放管服”、减税降费、财政预决算、预算绩效信息、扶贫资金管理等重点领域信息公开工作；财源保障评价中心负责网站的技术保障。</w:t>
      </w:r>
      <w:r>
        <w:rPr>
          <w:rFonts w:hint="eastAsia" w:ascii="仿宋_GB2312" w:hAnsi="Arial" w:eastAsia="仿宋_GB2312" w:cs="Arial"/>
          <w:b/>
          <w:bCs/>
          <w:color w:val="000000"/>
          <w:kern w:val="0"/>
          <w:sz w:val="22"/>
        </w:rPr>
        <w:t>纵向上，</w:t>
      </w:r>
      <w:r>
        <w:rPr>
          <w:rFonts w:hint="eastAsia" w:ascii="仿宋_GB2312" w:hAnsi="Arial" w:eastAsia="仿宋_GB2312" w:cs="Arial"/>
          <w:color w:val="000000"/>
          <w:kern w:val="0"/>
          <w:sz w:val="22"/>
          <w:szCs w:val="22"/>
        </w:rPr>
        <w:t>建立全省财政信息公开联络员网络，各处室都确定一名负责人分管信息公开工作，并指定综合科长为信息公开联络员，各市和省直管县财政局也都明确一名信息公开联络员，确保了信息公开工作的稳步推进。</w:t>
      </w:r>
    </w:p>
    <w:p>
      <w:pPr>
        <w:widowControl/>
        <w:spacing w:line="543" w:lineRule="atLeast"/>
        <w:ind w:firstLine="480"/>
        <w:jc w:val="left"/>
        <w:rPr>
          <w:rFonts w:ascii="Arial" w:hAnsi="Arial" w:cs="Arial"/>
          <w:color w:val="000000"/>
          <w:kern w:val="0"/>
          <w:sz w:val="19"/>
          <w:szCs w:val="19"/>
        </w:rPr>
      </w:pPr>
      <w:r>
        <w:rPr>
          <w:rFonts w:hint="eastAsia" w:ascii="黑体" w:hAnsi="黑体" w:eastAsia="黑体" w:cs="Arial"/>
          <w:color w:val="000000"/>
          <w:kern w:val="0"/>
          <w:sz w:val="22"/>
          <w:szCs w:val="22"/>
        </w:rPr>
        <w:t>二是创新公开渠道。</w:t>
      </w:r>
      <w:r>
        <w:rPr>
          <w:rFonts w:hint="eastAsia" w:ascii="仿宋_GB2312" w:hAnsi="Arial" w:eastAsia="仿宋_GB2312" w:cs="Arial"/>
          <w:color w:val="000000"/>
          <w:kern w:val="0"/>
          <w:sz w:val="22"/>
          <w:szCs w:val="22"/>
        </w:rPr>
        <w:t>加强新闻发布制度建设，充分利用省政府新闻办公室新闻发布会、“中国山东”网站和厅门户网站、“</w:t>
      </w:r>
      <w:r>
        <w:rPr>
          <w:rFonts w:ascii="Calibri" w:hAnsi="Calibri" w:cs="Arial"/>
          <w:color w:val="000000"/>
          <w:kern w:val="0"/>
          <w:sz w:val="22"/>
          <w:szCs w:val="22"/>
        </w:rPr>
        <w:t>@</w:t>
      </w:r>
      <w:r>
        <w:rPr>
          <w:rFonts w:hint="eastAsia" w:ascii="仿宋_GB2312" w:hAnsi="Arial" w:eastAsia="仿宋_GB2312" w:cs="Arial"/>
          <w:color w:val="000000"/>
          <w:kern w:val="0"/>
          <w:sz w:val="22"/>
          <w:szCs w:val="22"/>
        </w:rPr>
        <w:t>山东发布”和“</w:t>
      </w:r>
      <w:r>
        <w:rPr>
          <w:rFonts w:ascii="Calibri" w:hAnsi="Calibri" w:cs="Arial"/>
          <w:color w:val="000000"/>
          <w:kern w:val="0"/>
          <w:sz w:val="22"/>
          <w:szCs w:val="22"/>
        </w:rPr>
        <w:t>@</w:t>
      </w:r>
      <w:r>
        <w:rPr>
          <w:rFonts w:hint="eastAsia" w:ascii="仿宋_GB2312" w:hAnsi="Arial" w:eastAsia="仿宋_GB2312" w:cs="Arial"/>
          <w:color w:val="000000"/>
          <w:kern w:val="0"/>
          <w:sz w:val="22"/>
          <w:szCs w:val="22"/>
        </w:rPr>
        <w:t>山东财政”政务微博微信三个平台，主动发布重要财政活动和重大财政决策部署信息，及时进行重要财政政策法规解读，妥善回应公众质疑。同时，积极利用新闻媒体、网络等平台，做好财政信息的通俗化解读工作。</w:t>
      </w:r>
    </w:p>
    <w:p>
      <w:pPr>
        <w:widowControl/>
        <w:spacing w:line="543" w:lineRule="atLeast"/>
        <w:ind w:firstLine="480"/>
        <w:jc w:val="left"/>
        <w:rPr>
          <w:rFonts w:ascii="Arial" w:hAnsi="Arial" w:cs="Arial"/>
          <w:color w:val="000000"/>
          <w:kern w:val="0"/>
          <w:sz w:val="19"/>
          <w:szCs w:val="19"/>
        </w:rPr>
      </w:pPr>
      <w:r>
        <w:rPr>
          <w:rFonts w:hint="eastAsia" w:ascii="黑体" w:hAnsi="黑体" w:eastAsia="黑体" w:cs="Arial"/>
          <w:color w:val="000000"/>
          <w:kern w:val="0"/>
          <w:sz w:val="22"/>
          <w:szCs w:val="22"/>
        </w:rPr>
        <w:t>三是创新公开内容。</w:t>
      </w:r>
      <w:r>
        <w:rPr>
          <w:rFonts w:hint="eastAsia" w:ascii="仿宋_GB2312" w:hAnsi="Arial" w:eastAsia="仿宋_GB2312" w:cs="Arial"/>
          <w:color w:val="000000"/>
          <w:kern w:val="0"/>
          <w:sz w:val="22"/>
          <w:szCs w:val="22"/>
        </w:rPr>
        <w:t>坚持以公开为常态、不公开为例外，持续推动财政预决算、减税降费、预算绩效管理、财政“放管服”、扶贫资金政策、财政涉企政策等重点领域信息公开。加强督查和审计发现问题及整改落实情况公开，不断扩大公开的广度和深度。</w:t>
      </w:r>
    </w:p>
    <w:p>
      <w:pPr>
        <w:widowControl/>
        <w:spacing w:line="530" w:lineRule="atLeast"/>
        <w:ind w:firstLine="480"/>
        <w:jc w:val="left"/>
        <w:rPr>
          <w:rFonts w:ascii="Arial" w:hAnsi="Arial" w:cs="Arial"/>
          <w:color w:val="000000"/>
          <w:kern w:val="0"/>
          <w:sz w:val="19"/>
          <w:szCs w:val="19"/>
        </w:rPr>
      </w:pPr>
      <w:r>
        <w:rPr>
          <w:rFonts w:hint="eastAsia" w:ascii="黑体" w:hAnsi="黑体" w:eastAsia="黑体" w:cs="Arial"/>
          <w:color w:val="000000"/>
          <w:kern w:val="0"/>
          <w:sz w:val="22"/>
          <w:szCs w:val="22"/>
        </w:rPr>
        <w:t>四是创新公开机制。</w:t>
      </w:r>
      <w:r>
        <w:rPr>
          <w:rFonts w:hint="eastAsia" w:ascii="仿宋_GB2312" w:hAnsi="Arial" w:eastAsia="仿宋_GB2312" w:cs="Arial"/>
          <w:b/>
          <w:bCs/>
          <w:color w:val="000000"/>
          <w:kern w:val="0"/>
          <w:sz w:val="22"/>
        </w:rPr>
        <w:t>1.风险防控机制。</w:t>
      </w:r>
      <w:r>
        <w:rPr>
          <w:rFonts w:hint="eastAsia" w:ascii="仿宋_GB2312" w:hAnsi="Arial" w:eastAsia="仿宋_GB2312" w:cs="Arial"/>
          <w:color w:val="000000"/>
          <w:kern w:val="0"/>
          <w:sz w:val="22"/>
          <w:szCs w:val="22"/>
        </w:rPr>
        <w:t>将财政信息公开纳入《山东省财政厅公共关系风险内部控制办法（试行）》，严把风险防控关。</w:t>
      </w:r>
      <w:r>
        <w:rPr>
          <w:rFonts w:hint="eastAsia" w:ascii="仿宋_GB2312" w:hAnsi="Arial" w:eastAsia="仿宋_GB2312" w:cs="Arial"/>
          <w:b/>
          <w:bCs/>
          <w:color w:val="000000"/>
          <w:kern w:val="0"/>
          <w:sz w:val="22"/>
        </w:rPr>
        <w:t>2.解读回应机制。</w:t>
      </w:r>
      <w:r>
        <w:rPr>
          <w:rFonts w:hint="eastAsia" w:ascii="仿宋_GB2312" w:hAnsi="Arial" w:eastAsia="仿宋_GB2312" w:cs="Arial"/>
          <w:color w:val="000000"/>
          <w:kern w:val="0"/>
          <w:sz w:val="22"/>
          <w:szCs w:val="22"/>
        </w:rPr>
        <w:t>在厅门户网站开设“政策解读”专题栏目，坚持“谁起草、谁解读”，在政策制订同时制定解读方案，3个工作日内上载发布有关解读材料，便于企业和社会公众知晓、执行和监督。</w:t>
      </w:r>
      <w:r>
        <w:rPr>
          <w:rFonts w:hint="eastAsia" w:ascii="仿宋_GB2312" w:hAnsi="Arial" w:eastAsia="仿宋_GB2312" w:cs="Arial"/>
          <w:b/>
          <w:bCs/>
          <w:color w:val="000000"/>
          <w:kern w:val="0"/>
          <w:sz w:val="22"/>
        </w:rPr>
        <w:t>3.考核评价机制。</w:t>
      </w:r>
      <w:r>
        <w:rPr>
          <w:rFonts w:hint="eastAsia" w:ascii="仿宋_GB2312" w:hAnsi="Arial" w:eastAsia="仿宋_GB2312" w:cs="Arial"/>
          <w:color w:val="000000"/>
          <w:kern w:val="0"/>
          <w:sz w:val="22"/>
          <w:szCs w:val="22"/>
        </w:rPr>
        <w:t>将政务公开工作纳入厅机关绩效考核，所占分值权重不低于4%。</w:t>
      </w:r>
      <w:r>
        <w:rPr>
          <w:rFonts w:hint="eastAsia" w:ascii="仿宋_GB2312" w:hAnsi="Arial" w:eastAsia="仿宋_GB2312" w:cs="Arial"/>
          <w:b/>
          <w:bCs/>
          <w:color w:val="000000"/>
          <w:kern w:val="0"/>
          <w:sz w:val="22"/>
        </w:rPr>
        <w:t>4.日常培训机制。</w:t>
      </w:r>
      <w:r>
        <w:rPr>
          <w:rFonts w:hint="eastAsia" w:ascii="仿宋_GB2312" w:hAnsi="Arial" w:eastAsia="仿宋_GB2312" w:cs="Arial"/>
          <w:color w:val="000000"/>
          <w:kern w:val="0"/>
          <w:sz w:val="22"/>
          <w:szCs w:val="22"/>
        </w:rPr>
        <w:t>举办了全省信息公开工作培训班，邀请省政府和财政部办公厅信息公开办公室领导授课，提高了全省财政干部职工信息公开工作的业务能力。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9B02B11"/>
    <w:multiLevelType w:val="singleLevel"/>
    <w:tmpl w:val="09B02B11"/>
    <w:lvl w:ilvl="0" w:tentative="0">
      <w:start w:val="4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70B08ED8"/>
    <w:multiLevelType w:val="singleLevel"/>
    <w:tmpl w:val="70B08ED8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TM2Yjc4NWJjNmU5MDE5M2JlYTIxMjI3YTcyYzFmNDIifQ=="/>
  </w:docVars>
  <w:rsids>
    <w:rsidRoot w:val="00D836AA"/>
    <w:rsid w:val="00025949"/>
    <w:rsid w:val="00293273"/>
    <w:rsid w:val="00345167"/>
    <w:rsid w:val="006D1E93"/>
    <w:rsid w:val="00863681"/>
    <w:rsid w:val="008B71E7"/>
    <w:rsid w:val="009D26DC"/>
    <w:rsid w:val="00C957FB"/>
    <w:rsid w:val="00D26728"/>
    <w:rsid w:val="00D701EE"/>
    <w:rsid w:val="00D836AA"/>
    <w:rsid w:val="00F42A38"/>
    <w:rsid w:val="238869CD"/>
    <w:rsid w:val="291B1ED2"/>
    <w:rsid w:val="3C6A40D7"/>
    <w:rsid w:val="41DE76A7"/>
    <w:rsid w:val="48CF3FFA"/>
    <w:rsid w:val="5A3C24C2"/>
    <w:rsid w:val="782D3833"/>
    <w:rsid w:val="7ABB72B4"/>
    <w:rsid w:val="7D244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0"/>
    <w:qFormat/>
    <w:uiPriority w:val="0"/>
    <w:rPr>
      <w:rFonts w:eastAsia="仿宋_GB2312"/>
      <w:sz w:val="32"/>
    </w:rPr>
  </w:style>
  <w:style w:type="paragraph" w:styleId="3">
    <w:name w:val="Balloon Text"/>
    <w:basedOn w:val="1"/>
    <w:link w:val="11"/>
    <w:qFormat/>
    <w:uiPriority w:val="0"/>
    <w:rPr>
      <w:sz w:val="18"/>
      <w:szCs w:val="18"/>
    </w:rPr>
  </w:style>
  <w:style w:type="paragraph" w:styleId="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7">
    <w:name w:val="Strong"/>
    <w:qFormat/>
    <w:uiPriority w:val="22"/>
    <w:rPr>
      <w:rFonts w:hint="default"/>
      <w:b/>
    </w:rPr>
  </w:style>
  <w:style w:type="character" w:styleId="8">
    <w:name w:val="Emphasis"/>
    <w:basedOn w:val="6"/>
    <w:qFormat/>
    <w:uiPriority w:val="20"/>
    <w:rPr>
      <w:i/>
      <w:iCs/>
    </w:rPr>
  </w:style>
  <w:style w:type="character" w:styleId="9">
    <w:name w:val="Hyperlink"/>
    <w:basedOn w:val="6"/>
    <w:unhideWhenUsed/>
    <w:qFormat/>
    <w:uiPriority w:val="99"/>
    <w:rPr>
      <w:color w:val="0000FF"/>
      <w:u w:val="single"/>
    </w:rPr>
  </w:style>
  <w:style w:type="character" w:customStyle="1" w:styleId="10">
    <w:name w:val="正文文本 Char"/>
    <w:link w:val="2"/>
    <w:qFormat/>
    <w:uiPriority w:val="0"/>
    <w:rPr>
      <w:rFonts w:eastAsia="仿宋_GB2312"/>
      <w:kern w:val="2"/>
      <w:sz w:val="32"/>
      <w:szCs w:val="24"/>
    </w:rPr>
  </w:style>
  <w:style w:type="character" w:customStyle="1" w:styleId="11">
    <w:name w:val="批注框文本 Char"/>
    <w:link w:val="3"/>
    <w:qFormat/>
    <w:uiPriority w:val="0"/>
    <w:rPr>
      <w:kern w:val="2"/>
      <w:sz w:val="18"/>
      <w:szCs w:val="18"/>
    </w:rPr>
  </w:style>
  <w:style w:type="paragraph" w:customStyle="1" w:styleId="12">
    <w:name w:val="No Spacing"/>
    <w:qFormat/>
    <w:uiPriority w:val="1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3">
    <w:name w:val="常用样式"/>
    <w:basedOn w:val="1"/>
    <w:qFormat/>
    <w:uiPriority w:val="0"/>
    <w:pPr>
      <w:spacing w:line="600" w:lineRule="exact"/>
      <w:ind w:firstLine="640" w:firstLineChars="200"/>
    </w:pPr>
    <w:rPr>
      <w:rFonts w:ascii="仿宋_GB2312" w:eastAsia="仿宋_GB231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hart" Target="charts/chart1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3" Type="http://schemas.microsoft.com/office/2011/relationships/chartColorStyle" Target="colors1.xml"/><Relationship Id="rId2" Type="http://schemas.microsoft.com/office/2011/relationships/chartStyle" Target="style1.xml"/><Relationship Id="rId1" Type="http://schemas.openxmlformats.org/officeDocument/2006/relationships/oleObject" Target="file:///C:\Users\Lenovo\Desktop\&#25919;&#24220;&#20449;&#24687;&#20844;&#24320;&#19987;&#26639;\&#39292;&#29366;&#22270;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0619444444444446"/>
          <c:y val="0.168549688724925"/>
          <c:w val="0.352638888888889"/>
          <c:h val="0.585427715010375"/>
        </c:manualLayout>
      </c:layout>
      <c:pieChart>
        <c:varyColors val="1"/>
        <c:ser>
          <c:idx val="0"/>
          <c:order val="0"/>
          <c:spPr/>
          <c:explosion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1"/>
              <c:layout>
                <c:manualLayout>
                  <c:x val="0.0138908548140895"/>
                  <c:y val="-0.0019569993361302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[饼状图.xls]Sheet1!$B$2:$B$6</c:f>
              <c:strCache>
                <c:ptCount val="5"/>
                <c:pt idx="0">
                  <c:v>同意公开</c:v>
                </c:pt>
                <c:pt idx="1">
                  <c:v>部分公开</c:v>
                </c:pt>
                <c:pt idx="2">
                  <c:v>属于国家秘密，不同意公开</c:v>
                </c:pt>
                <c:pt idx="3">
                  <c:v>不属于本行政机关公开范围</c:v>
                </c:pt>
                <c:pt idx="4">
                  <c:v>未按规定时间进行补正说明，不予受理</c:v>
                </c:pt>
              </c:strCache>
            </c:strRef>
          </c:cat>
          <c:val>
            <c:numRef>
              <c:f>[饼状图.xls]Sheet1!$F$2:$F$6</c:f>
              <c:numCache>
                <c:formatCode>0.00%</c:formatCode>
                <c:ptCount val="5"/>
                <c:pt idx="0">
                  <c:v>0.4875</c:v>
                </c:pt>
                <c:pt idx="1">
                  <c:v>0.05</c:v>
                </c:pt>
                <c:pt idx="2">
                  <c:v>0.0375</c:v>
                </c:pt>
                <c:pt idx="3">
                  <c:v>0.3125</c:v>
                </c:pt>
                <c:pt idx="4">
                  <c:v>0.1125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0875"/>
          <c:y val="0.216278533548536"/>
          <c:w val="0.487083333333333"/>
          <c:h val="0.448236107908693"/>
        </c:manualLayout>
      </c:layout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5068</Words>
  <Characters>5322</Characters>
  <Lines>41</Lines>
  <Paragraphs>11</Paragraphs>
  <TotalTime>7</TotalTime>
  <ScaleCrop>false</ScaleCrop>
  <LinksUpToDate>false</LinksUpToDate>
  <CharactersWithSpaces>5327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2021-01-25T01:26:00Z</dcterms:created>
  <dc:creator>姜文谦</dc:creator>
  <cp:lastModifiedBy>善生</cp:lastModifiedBy>
  <dcterms:modified xsi:type="dcterms:W3CDTF">2022-08-12T07:09:41Z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EF83F040460E479B9F171213395B3001</vt:lpwstr>
  </property>
</Properties>
</file>