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20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  <w:lang w:val="en-US" w:eastAsia="zh-CN"/>
        </w:rPr>
        <w:t>19</w:t>
      </w: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年省财政厅政府信息公开</w:t>
      </w:r>
    </w:p>
    <w:p>
      <w:pPr>
        <w:widowControl/>
        <w:spacing w:line="600" w:lineRule="exact"/>
        <w:jc w:val="center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方正小标宋简体" w:hAnsi="Arial" w:eastAsia="方正小标宋简体" w:cs="Arial"/>
          <w:color w:val="000000"/>
          <w:kern w:val="0"/>
          <w:sz w:val="44"/>
          <w:szCs w:val="44"/>
        </w:rPr>
        <w:t>工作年度报告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本报告根据《中华人民共和国政府信息公开条例》（国务院令第711号，以下简称《条例》）和《山东省政府信息公开办法》（省政府令第225号，以下简称《办法》）编制。报告所列数据统计期限为2019年1月1日至 2019年12月31日。报告可从厅门户网站（http://czt.shandong.gov.cn/）查询。如对本年度报告有任何疑问，请与省财政厅办公室联系（地址：山东省济南市市中区济大路3号；邮编：250002；电话：0531—82669647；传真：0531—82929449；电子邮箱：sdczxxgk</w:t>
      </w:r>
      <w:r>
        <w:rPr>
          <w:color w:val="000000"/>
          <w:kern w:val="0"/>
          <w:sz w:val="22"/>
          <w:szCs w:val="22"/>
        </w:rPr>
        <w:t>@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163.com）。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一、总体情况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2019年，省财政厅以习近平新时代中国特色社会主义思想为指导，深入学习贯彻党的十九大和十九届二中、三中、四中全会精神，认真落实省政府关于推进政务公开工作的部署要求，坚持“以公开为常态，不公开为例外”工作理念，持续做好信息发布、解读回应、政民互动、平台建设，充分保障了人民群众知情权、参与权、表达权、监督权。在马洪基金会组织的政府政务公开评选中，山东省获金秤砣奖。其中，财政民生支出作为评选的重要指标，得到充分肯定。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  <w:t>（一）围绕中心工作主动公开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秉持“以公开为常态，不公开为例外”的工作理念，通过厅门户网站、“两微一端”等新媒体，主动发布财政信息，不断提升财政透明度。全年通过厅门户网站公开各类信息6100余条，借力财政部门户网站“地方新闻联播栏目”发布财政新闻2000余条。将“五公开”纳入办文办会程序，落实属性源头认定机制的政策文件比例、厅长办公会议题公开率均达到100%。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  <w:t>（二）围绕重点领域深度公开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在厅门户网站设立“财政预决算”“减税降费”“财政扶贫政策”等8个专栏，持续深入推进重点领域信息公开，不断增强公开实效。2019年创新谋划公开了四个方面的财政信息。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1.公开减税降费政策信息。将“漫灌式”宣传和“滴灌式”辅导相结合，建立政策宣传多式互联制度，借助报刊、网络等渠道策划减税降费专题宣传，编写重点减税降费政策汇编，制定惠民利企政策清单，扩大政策知晓面。组建减税降费咨询服务团队，为纳税人提供“一对一”服务，现场解答政策问题，现场辅导办税操作，实施错峰预约，解决申报拥堵、等待时间长的难题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133350</wp:posOffset>
            </wp:positionV>
            <wp:extent cx="5140960" cy="2891790"/>
            <wp:effectExtent l="9525" t="9525" r="9525" b="13335"/>
            <wp:wrapNone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289179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134620</wp:posOffset>
            </wp:positionV>
            <wp:extent cx="2861945" cy="1981200"/>
            <wp:effectExtent l="9525" t="9525" r="10795" b="17145"/>
            <wp:wrapNone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9" t="12024" r="28861" b="34269"/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198120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158750</wp:posOffset>
            </wp:positionV>
            <wp:extent cx="1967230" cy="1971040"/>
            <wp:effectExtent l="9525" t="9525" r="9525" b="1651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7" t="9323" r="26742" b="6462"/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97104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2.公开预算绩效信息。通过厅门户网站主动向社会公开了61个省财政重点支出项目绩效评价报告，是省财政厅连续第三年公开财政重点项目绩效评价结果。组织113个省级预算部门全部公开了绩效目标管理情况，绩效信息公开的部门数量和专项资金规模较去年大幅提升。组织64个部门公开了70个重点项目的绩效评价结果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3.举办基金项目推介会。启动新旧动能转换基金进基层“双基”对接活动，先后举办9场基金项目推介会，为新旧动能转换基金与相关市的重点项目牵线搭桥。集中推介优质项目402个，达成意向投资131个，基金投资额234亿元，实现基金投资与项目发展双赢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2690495</wp:posOffset>
            </wp:positionH>
            <wp:positionV relativeFrom="paragraph">
              <wp:posOffset>128270</wp:posOffset>
            </wp:positionV>
            <wp:extent cx="2327910" cy="1551940"/>
            <wp:effectExtent l="9525" t="9525" r="15875" b="14605"/>
            <wp:wrapSquare wrapText="bothSides"/>
            <wp:docPr id="53" name="图片 53" descr="360f622db8e5b099dde954046473c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360f622db8e5b099dde954046473c5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55194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138430</wp:posOffset>
            </wp:positionV>
            <wp:extent cx="2286000" cy="1541145"/>
            <wp:effectExtent l="9525" t="9525" r="14605" b="14605"/>
            <wp:wrapSquare wrapText="bothSides"/>
            <wp:docPr id="54" name="图片 54" descr="48553b8fe0a517368a20bae87fa00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48553b8fe0a517368a20bae87fa00ca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4114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1"/>
        </w:numPr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2738755</wp:posOffset>
            </wp:positionH>
            <wp:positionV relativeFrom="paragraph">
              <wp:posOffset>-256540</wp:posOffset>
            </wp:positionV>
            <wp:extent cx="2264410" cy="1509395"/>
            <wp:effectExtent l="9525" t="9525" r="14605" b="13970"/>
            <wp:wrapSquare wrapText="bothSides"/>
            <wp:docPr id="51" name="图片 51" descr="efd3736215ebd820a463dd759a60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efd3736215ebd820a463dd759a60f9e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50939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200660</wp:posOffset>
            </wp:positionH>
            <wp:positionV relativeFrom="paragraph">
              <wp:posOffset>-265430</wp:posOffset>
            </wp:positionV>
            <wp:extent cx="2275205" cy="1517015"/>
            <wp:effectExtent l="9525" t="9525" r="14605" b="17145"/>
            <wp:wrapSquare wrapText="bothSides"/>
            <wp:docPr id="52" name="图片 52" descr="68638d90c64d9b8b56f5de1e30f0f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68638d90c64d9b8b56f5de1e30f0f4a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05" cy="151701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围绕政务公开要点发布重磅新闻。全年多渠道发布反映山东财政改革发展的宣传报道2256篇。其中，《人民日报》刊发《公共产品吃香+社会资本抢滩 PPP正在山东蓬勃发展》；《经济日报》头版刊发《山东激励金融机构支持小微》《激励金融机构助推经济发展山东财政创新机制积极作为》；《中国财经报》头版头条刊发《用流程再造“砸实”制度创新——山东省财政推出4+11工作流程再造体系打造优质高效便捷政务环境》《部门市县有了更大决策权自主权——山东实施省级预算管理和省以下财政管理体制改革》《山东建立预算绩效管理“1+2”制度框架》《山东“三推进”促脱贫攻坚与乡村振兴融合》《山东扎实落实县级“三保”》《山东“六到位”确保减税降费落地开花》《山东开启“智慧财政”新时代》，对山东财政改革起到了有力的宣传推动作用。</w:t>
      </w: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233680</wp:posOffset>
            </wp:positionV>
            <wp:extent cx="3039745" cy="2520950"/>
            <wp:effectExtent l="9525" t="9525" r="16510" b="17145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5209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209550</wp:posOffset>
            </wp:positionV>
            <wp:extent cx="2402205" cy="2588260"/>
            <wp:effectExtent l="9525" t="9525" r="17145" b="14605"/>
            <wp:wrapNone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58826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2732405</wp:posOffset>
            </wp:positionH>
            <wp:positionV relativeFrom="paragraph">
              <wp:posOffset>163830</wp:posOffset>
            </wp:positionV>
            <wp:extent cx="2859405" cy="2529205"/>
            <wp:effectExtent l="9525" t="9525" r="13335" b="19685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25292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163830</wp:posOffset>
            </wp:positionV>
            <wp:extent cx="3046095" cy="2529205"/>
            <wp:effectExtent l="9525" t="9525" r="10160" b="19685"/>
            <wp:wrapNone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095" cy="25292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0"/>
        </w:numPr>
        <w:spacing w:line="543" w:lineRule="atLeast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  <w:t>（三）围绕解读回应创新公开。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严格落实政策性文件与解读方案、解读材料同步组织、同步审签、同步部署的“三同步”规定，在厅门户网站开设“政策解读”专栏，深度解读政策内容。今年以来，累计发布44件国家和省级层面重要政策文件解读材料，规范性文件解读比例为100%。积极利用报刊、电视、杂志等多种媒体，通过撰稿解读、在线访谈、媒体专访新闻发布会等多种宣传形式，公开财政信息，解读财政政策。全年共举办省政府新闻办新闻发布会13场，其中厅主要负责同志带头解读3场，取得良好社会效果。梳理编制《财政惠民利企政策清单》，通过组织开展政策宣讲、制作图文解读等方式，创新拓展解读形式，让人民群众“听得懂”“信得过”，获得广泛好评。2019年省两会期间，制作H5动画“掌上账本”、《预算草案解读》等系列资料，解读民生政策，形式新颖，传阅范围广泛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306705</wp:posOffset>
            </wp:positionV>
            <wp:extent cx="2662555" cy="1697990"/>
            <wp:effectExtent l="9525" t="9525" r="15875" b="1968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2555" cy="1697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306705</wp:posOffset>
            </wp:positionV>
            <wp:extent cx="2623820" cy="1680845"/>
            <wp:effectExtent l="9525" t="9525" r="11430" b="1524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820" cy="16808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numPr>
          <w:ilvl w:val="0"/>
          <w:numId w:val="2"/>
        </w:numPr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  <w:t>围绕群众关切用心公开。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打造形成厅门户网站、“山东政务服务网”、微博微信等全方位、立体化互动交流模式，及时听取群众意见，解答网民咨询，回应公众诉求。</w:t>
      </w: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一是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用好“两微一端”新媒体平台。对政务微信公众号进行全面改版升级，增设“头条”“资讯”“他山”“基层”“荐读”等条目。全年通过“山东财政”微信公众号发布信息880余条，政务微博230余条。设置“微服务”“微公开”“微解读”三个栏目，将有奖发票、非税缴费、政府采购、会计人员信息等与群众密切相关的内容搬上“微平台”，提升“山东财政”微信公众号的群众参与度和社会美誉度。改版升级后粉丝量翻了两番多，由改版前的1.2万人跃升为6.8万人。</w:t>
      </w: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二是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参加大型访谈活动。连续10年参加“阳光政务热线”直播节目。今年共参加“阳光政务热线”2次。全年参加《问政山东》2次，各有关处室、单位积极准备、强化落实，针对节目反映问题压实责任、跟踪督办、举一反三，节目反映问题全部整改落实到位。</w:t>
      </w: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三是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畅通政民互动渠道。全年共办理厅门户网站领导信箱和业务咨询400余件，办理政府信息公开申请80件，受理省政府“政务服务网”办事咨询来件142件，按时回复率与满意率均为100%。2019年，我厅共承办人大代表建议154件、政协提案94件，已全部在规定时间内办理完毕，办结率为100%。已答复的人大代表建议中，所提问题已经解决或基本解决、标注为“A”的有90件，占58.4%；所提问题正在解决或列入规划逐步解决、标注为B的有58件，占37.7%；所提问题暂时难以解决、标注为“C”的仅有6件；已答复的政协提案中，所提问题已经解决或基本解决、标注为“A”的有46件，占48.9%；所提问题正在解决或列入规划逐步解决、标注为B的有39件，占41.5%；所提问题暂时难以解决、标注为“C”的仅有9件，办理质量和效率明显提升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3" w:lineRule="atLeast"/>
        <w:ind w:firstLine="640" w:firstLineChars="200"/>
        <w:jc w:val="both"/>
        <w:textAlignment w:val="auto"/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3911600</wp:posOffset>
            </wp:positionH>
            <wp:positionV relativeFrom="paragraph">
              <wp:posOffset>1934845</wp:posOffset>
            </wp:positionV>
            <wp:extent cx="1217295" cy="1659255"/>
            <wp:effectExtent l="9525" t="9525" r="14605" b="15240"/>
            <wp:wrapSquare wrapText="bothSides"/>
            <wp:docPr id="45" name="图片 45" descr="H:\0299ae87155ffc5590278bb1de3b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H:\0299ae87155ffc5590278bb1de3b1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7295" cy="16592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ascii="仿宋_GB2312" w:hAnsi="宋体" w:eastAsia="仿宋_GB2312" w:cs="宋体"/>
          <w:kern w:val="0"/>
          <w:sz w:val="32"/>
          <w:szCs w:val="32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2597785</wp:posOffset>
            </wp:positionH>
            <wp:positionV relativeFrom="paragraph">
              <wp:posOffset>1931035</wp:posOffset>
            </wp:positionV>
            <wp:extent cx="1210945" cy="1649730"/>
            <wp:effectExtent l="9525" t="9525" r="10160" b="13970"/>
            <wp:wrapSquare wrapText="bothSides"/>
            <wp:docPr id="44" name="图片 44" descr="H:\9be9f1d0db0594281fc7cfe79b509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H:\9be9f1d0db0594281fc7cfe79b5098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64973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-27940</wp:posOffset>
            </wp:positionH>
            <wp:positionV relativeFrom="paragraph">
              <wp:posOffset>1930400</wp:posOffset>
            </wp:positionV>
            <wp:extent cx="2519680" cy="1678305"/>
            <wp:effectExtent l="9525" t="9525" r="18415" b="17780"/>
            <wp:wrapSquare wrapText="bothSides"/>
            <wp:docPr id="46" name="图片 46" descr="9ae6e87afd598f0b879396184a554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9ae6e87afd598f0b879396184a554d7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680" cy="167830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128905</wp:posOffset>
            </wp:positionV>
            <wp:extent cx="2477135" cy="1651635"/>
            <wp:effectExtent l="9525" t="9525" r="17780" b="12065"/>
            <wp:wrapSquare wrapText="bothSides"/>
            <wp:docPr id="47" name="图片 47" descr="f274e65acd18ad6769dc17f7e159c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f274e65acd18ad6769dc17f7e159c7a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165163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128905</wp:posOffset>
            </wp:positionV>
            <wp:extent cx="2455545" cy="1646555"/>
            <wp:effectExtent l="9525" t="9525" r="17780" b="17145"/>
            <wp:wrapSquare wrapText="bothSides"/>
            <wp:docPr id="48" name="图片 48" descr="17f3c4fc3dd207ea991f096e6df2e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17f3c4fc3dd207ea991f096e6df2ec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04"/>
                    <a:stretch>
                      <a:fillRect/>
                    </a:stretch>
                  </pic:blipFill>
                  <pic:spPr>
                    <a:xfrm>
                      <a:off x="0" y="0"/>
                      <a:ext cx="2455545" cy="1646555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1F497D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3" w:lineRule="atLeast"/>
        <w:ind w:firstLine="442" w:firstLineChars="200"/>
        <w:jc w:val="both"/>
        <w:textAlignment w:val="auto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楷体_GB2312" w:hAnsi="Arial" w:eastAsia="楷体_GB2312" w:cs="Arial"/>
          <w:b/>
          <w:bCs/>
          <w:color w:val="000000"/>
          <w:kern w:val="0"/>
          <w:sz w:val="22"/>
        </w:rPr>
        <w:t>（五）围绕机制保障强化公开。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调整厅机关政务公开工作领导小组，建立了厅主要领导亲自部署、厅分管领导具体负责、办公室牵头落实、各处室密切配合的工作机制。举办全省政务公开工作培训班。完善财政信息公开工作制度，修订厅门户网站维护管理办法，将政务公开工作纳入厅机关绩效考核，将财政信息公开纳入《山东省财政厅公共关系风险内部控制办法（试行）》，严把风险防控关。印发《山东省财政厅主动公开基本目录》，梳理主动公开事项共7类、25项，提高了主动公开工作标准化、规范化水平。</w:t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  <w:r>
        <w:rPr>
          <w:rFonts w:hint="eastAsia" w:ascii="仿宋_GB2312" w:hAnsi="宋体" w:eastAsia="仿宋_GB2312"/>
          <w:color w:val="000000"/>
          <w:sz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147955</wp:posOffset>
            </wp:positionV>
            <wp:extent cx="2731135" cy="1822450"/>
            <wp:effectExtent l="9525" t="9525" r="12065" b="13970"/>
            <wp:wrapSquare wrapText="bothSides"/>
            <wp:docPr id="34" name="图片 34" descr="I:\e829e6783e904689e9d9eea3d99f8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:\e829e6783e904689e9d9eea3d99f8e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1135" cy="18224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宋体" w:eastAsia="仿宋_GB2312"/>
          <w:color w:val="000000"/>
          <w:sz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147320</wp:posOffset>
            </wp:positionV>
            <wp:extent cx="2742565" cy="1831340"/>
            <wp:effectExtent l="9525" t="9525" r="11430" b="15875"/>
            <wp:wrapNone/>
            <wp:docPr id="29" name="图片 29" descr="I:\24ad50a4ce3bec12f4fdcc1bdccff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:\24ad50a4ce3bec12f4fdcc1bdccffe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831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</w:pP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二、主动公开政府信息情况</w:t>
      </w:r>
    </w:p>
    <w:p>
      <w:pPr>
        <w:widowControl/>
        <w:spacing w:line="543" w:lineRule="atLeast"/>
        <w:ind w:firstLine="584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宋体" w:hAnsi="宋体" w:cs="宋体"/>
          <w:color w:val="000000"/>
          <w:kern w:val="0"/>
          <w:sz w:val="29"/>
          <w:szCs w:val="29"/>
        </w:rPr>
        <w:t> </w:t>
      </w:r>
    </w:p>
    <w:tbl>
      <w:tblPr>
        <w:tblStyle w:val="5"/>
        <w:tblW w:w="871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5"/>
        <w:gridCol w:w="15"/>
        <w:gridCol w:w="2100"/>
        <w:gridCol w:w="1500"/>
        <w:gridCol w:w="20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本年新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公开数量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对外公开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总数量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44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43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减2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217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15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36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7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50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（中央42+省级8）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8715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35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119</w:t>
            </w:r>
          </w:p>
        </w:tc>
        <w:tc>
          <w:tcPr>
            <w:tcW w:w="3525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5457万元</w:t>
            </w:r>
          </w:p>
        </w:tc>
      </w:tr>
    </w:tbl>
    <w:p>
      <w:pPr>
        <w:widowControl/>
        <w:spacing w:line="543" w:lineRule="atLeast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宋体" w:hAnsi="宋体" w:cs="宋体"/>
          <w:color w:val="000000"/>
          <w:kern w:val="0"/>
          <w:sz w:val="29"/>
          <w:szCs w:val="29"/>
        </w:rPr>
        <w:t> 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三、收到和处理政府信息公开申请情况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全年共办理信息公开申请80件，同比减少20%。其中，通过厅门户网站收到信息公开申请58件，通过信函收到信息公开申请22件，均在规定时限内给予了答复。政府信息公开申请的内容主要涉及资金信息、征地拆迁补偿、棚户区改造、社会保障、信访举报等方面。申请人多来自高校师生、律师事务所及社会个人，申请目的多与毕业论文、课题研究及自身生产生活有关。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在答复的申请中：属于同意公开39件，占48.75%；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同意部分公开4件，占5%；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因属于国家秘密，不同意公开3件，占3.75%；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不属于本行政机关公开范围25件，占31.25%；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因未按规定时间进行补正说明，不予受理9件，占11.25%。</w:t>
      </w:r>
    </w:p>
    <w:p>
      <w:pPr>
        <w:widowControl/>
        <w:spacing w:line="543" w:lineRule="atLeast"/>
        <w:ind w:firstLine="584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9"/>
          <w:szCs w:val="29"/>
        </w:rPr>
        <w:t> </w:t>
      </w:r>
    </w:p>
    <w:tbl>
      <w:tblPr>
        <w:tblStyle w:val="5"/>
        <w:tblW w:w="907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1"/>
        <w:gridCol w:w="1419"/>
        <w:gridCol w:w="2815"/>
        <w:gridCol w:w="851"/>
        <w:gridCol w:w="568"/>
        <w:gridCol w:w="568"/>
        <w:gridCol w:w="568"/>
        <w:gridCol w:w="568"/>
        <w:gridCol w:w="539"/>
        <w:gridCol w:w="62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478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（本列数据的勾稽关系为：第一项加第二项之和，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等于第三项加第四项之和）</w:t>
            </w:r>
          </w:p>
        </w:tc>
        <w:tc>
          <w:tcPr>
            <w:tcW w:w="4290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申请人情况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0" w:hRule="atLeast"/>
          <w:jc w:val="center"/>
        </w:trPr>
        <w:tc>
          <w:tcPr>
            <w:tcW w:w="478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自然人</w:t>
            </w:r>
          </w:p>
        </w:tc>
        <w:tc>
          <w:tcPr>
            <w:tcW w:w="2811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法人或其他组织</w:t>
            </w:r>
          </w:p>
        </w:tc>
        <w:tc>
          <w:tcPr>
            <w:tcW w:w="62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9" w:hRule="atLeast"/>
          <w:jc w:val="center"/>
        </w:trPr>
        <w:tc>
          <w:tcPr>
            <w:tcW w:w="478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商业企业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科研机构</w:t>
            </w:r>
          </w:p>
        </w:tc>
        <w:tc>
          <w:tcPr>
            <w:tcW w:w="5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社会公益组织</w:t>
            </w:r>
          </w:p>
        </w:tc>
        <w:tc>
          <w:tcPr>
            <w:tcW w:w="5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法律服务机构</w:t>
            </w:r>
          </w:p>
        </w:tc>
        <w:tc>
          <w:tcPr>
            <w:tcW w:w="53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326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</w:t>
            </w:r>
          </w:p>
        </w:tc>
        <w:tc>
          <w:tcPr>
            <w:tcW w:w="62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62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76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4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1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三、本年度办理结果</w:t>
            </w: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39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39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3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4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1.属于国家秘密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2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2.其他法律行政法规禁止公开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3.危及“三安全一稳定”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4.保护第三方合法权益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5.属于三类内部事务信息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6.属于四类过程性信息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7.属于行政执法案卷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8.属于行政查询事项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1.本机关不掌握相关政府信息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25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2.没有现成信息需要另行制作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3.补正后申请内容仍不明确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9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9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（五）不予处理</w:t>
            </w: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1.信访举报投诉类申请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2.重复申请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3.要求提供公开出版物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4.无正当理由大量反复申请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14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72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5.要求行政机关确认或重新</w:t>
            </w:r>
          </w:p>
          <w:p>
            <w:pPr>
              <w:widowControl/>
              <w:spacing w:line="272" w:lineRule="atLeast"/>
              <w:ind w:firstLine="177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出具已获取信息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3" w:hRule="atLeast"/>
          <w:jc w:val="center"/>
        </w:trPr>
        <w:tc>
          <w:tcPr>
            <w:tcW w:w="551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423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177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楷体" w:hAnsi="楷体" w:eastAsia="楷体" w:cs="宋体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66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177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13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80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78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四、结转下年度继续办理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2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</w:tbl>
    <w:p>
      <w:pPr>
        <w:widowControl/>
        <w:spacing w:line="543" w:lineRule="atLeast"/>
        <w:ind w:firstLine="584"/>
        <w:jc w:val="left"/>
        <w:rPr>
          <w:rFonts w:hint="eastAsia" w:ascii="宋体" w:hAnsi="宋体" w:cs="宋体"/>
          <w:color w:val="000000"/>
          <w:kern w:val="0"/>
          <w:sz w:val="29"/>
          <w:szCs w:val="29"/>
        </w:rPr>
      </w:pPr>
      <w:r>
        <w:drawing>
          <wp:inline distT="0" distB="0" distL="114300" distR="114300">
            <wp:extent cx="4572000" cy="2753995"/>
            <wp:effectExtent l="0" t="0" r="5080" b="9525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>
      <w:pPr>
        <w:widowControl/>
        <w:shd w:val="clear" w:color="auto" w:fill="FFFFFF"/>
        <w:spacing w:line="480" w:lineRule="atLeast"/>
        <w:ind w:firstLine="380"/>
        <w:rPr>
          <w:rFonts w:ascii="Arial" w:hAnsi="Arial" w:cs="Arial"/>
          <w:color w:val="000000"/>
          <w:kern w:val="0"/>
          <w:sz w:val="22"/>
          <w:szCs w:val="22"/>
        </w:rPr>
      </w:pPr>
      <w:r>
        <w:rPr>
          <w:rFonts w:hint="eastAsia" w:ascii="黑体" w:hAnsi="黑体" w:eastAsia="黑体" w:cs="Arial"/>
          <w:color w:val="333333"/>
          <w:kern w:val="0"/>
          <w:sz w:val="22"/>
          <w:szCs w:val="22"/>
        </w:rPr>
        <w:t>四、政府信息公开行政复议、行政诉讼情况</w:t>
      </w:r>
    </w:p>
    <w:tbl>
      <w:tblPr>
        <w:tblStyle w:val="5"/>
        <w:tblW w:w="907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行政诉讼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9" w:hRule="atLeast"/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尚未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</w:t>
            </w:r>
          </w:p>
          <w:p>
            <w:pPr>
              <w:widowControl/>
              <w:spacing w:line="285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复议后起诉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9"/>
                <w:szCs w:val="19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尚未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</w:t>
            </w:r>
          </w:p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总计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2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after="163"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>
            <w:pPr>
              <w:widowControl/>
              <w:spacing w:line="480" w:lineRule="atLeast"/>
              <w:jc w:val="center"/>
              <w:rPr>
                <w:rFonts w:ascii="宋体" w:hAnsi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cs="宋体"/>
                <w:kern w:val="0"/>
                <w:sz w:val="19"/>
                <w:szCs w:val="19"/>
              </w:rPr>
              <w:t>0</w:t>
            </w:r>
          </w:p>
        </w:tc>
      </w:tr>
    </w:tbl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五、存在的问题及改进情况</w:t>
      </w:r>
    </w:p>
    <w:p>
      <w:pPr>
        <w:widowControl/>
        <w:spacing w:line="543" w:lineRule="atLeast"/>
        <w:ind w:firstLine="435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2019年，财政信息公开工作取得一定成效，但这项工作总体上还处于不断探索阶段，与省政府办公厅要求相比还有一定差距。主要表现为“三个不够”：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一是主动公开的意识不够高。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比如，在利用好厅门户网站公开主渠道上不够主动，不少厅内处室存在“推一推，动一动”或者“有公开需要时再动”的现象。规范性文件出台前向省直部门间征求意见多，而征求相关社会公众意见方面做得比较少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二是重点领域信息公开的内容不够广。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在会议公开方面，邀请利益相关方、公众代表、专家、媒体等列席部门办公会次数较少。厅长办公会议公开内容不够全面，形式不够丰富多样。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三是基层信息公开落实力度不够大。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目前更多地强调横向处室方面的沟通配合，对纵向省市县系统内的监督指导方面做得还不够。部分基层财政部门的公开意识不强，与群众切身利益、方便群众办事、群众关心关注的信息公开不及时、不全面、不具体，公开方式单一化、陈旧化，与真正畅通联系群众“最后一公里”还有距离。对此，省财政厅重点做了以下几个方面的工作：</w:t>
      </w:r>
    </w:p>
    <w:p>
      <w:pPr>
        <w:widowControl/>
        <w:spacing w:line="530" w:lineRule="atLeast"/>
        <w:ind w:firstLine="480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一是创新组织形式。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横向上，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办公室作为政务公开的牵头处室，安排1人专门负责日常和组织协调工作；办公室、法规处、税政处、预算处、农业农村处、预算绩效管理处、PPP管理中心分别负责建提案办理、财政“放管服”、减税降费、财政预决算、预算绩效信息、扶贫资金管理等重点领域信息公开工作；财源保障评价中心负责网站的技术保障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纵向上，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建立全省财政信息公开联络员网络，各处室都确定一名负责人分管信息公开工作，并指定综合科长为信息公开联络员，各市和省直管县财政局也都明确一名信息公开联络员，确保了信息公开工作的稳步推进。</w:t>
      </w:r>
    </w:p>
    <w:p>
      <w:pPr>
        <w:widowControl/>
        <w:spacing w:line="543" w:lineRule="atLeast"/>
        <w:ind w:firstLine="480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二是创新公开渠道。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加强新闻发布制度建设，充分利用省政府新闻办公室新闻发布会、“中国山东”网站和厅门户网站、“</w:t>
      </w:r>
      <w:r>
        <w:rPr>
          <w:rFonts w:ascii="Calibri" w:hAnsi="Calibri" w:cs="Arial"/>
          <w:color w:val="000000"/>
          <w:kern w:val="0"/>
          <w:sz w:val="22"/>
          <w:szCs w:val="22"/>
        </w:rPr>
        <w:t>@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山东发布”和“</w:t>
      </w:r>
      <w:r>
        <w:rPr>
          <w:rFonts w:ascii="Calibri" w:hAnsi="Calibri" w:cs="Arial"/>
          <w:color w:val="000000"/>
          <w:kern w:val="0"/>
          <w:sz w:val="22"/>
          <w:szCs w:val="22"/>
        </w:rPr>
        <w:t>@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山东财政”政务微博微信三个平台，主动发布重要财政活动和重大财政决策部署信息，及时进行重要财政政策法规解读，妥善回应公众质疑。同时，积极利用新闻媒体、网络等平台，做好财政信息的通俗化解读工作。</w:t>
      </w:r>
    </w:p>
    <w:p>
      <w:pPr>
        <w:widowControl/>
        <w:spacing w:line="543" w:lineRule="atLeast"/>
        <w:ind w:firstLine="480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三是创新公开内容。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坚持以公开为常态、不公开为例外，持续推动财政预决算、减税降费、预算绩效管理、财政“放管服”、扶贫资金政策、财政涉企政策等重点领域信息公开。加强督查和审计发现问题及整改落实情况公开，不断扩大公开的广度和深度。</w:t>
      </w:r>
    </w:p>
    <w:p>
      <w:pPr>
        <w:widowControl/>
        <w:spacing w:line="530" w:lineRule="atLeast"/>
        <w:ind w:firstLine="480"/>
        <w:jc w:val="left"/>
        <w:rPr>
          <w:rFonts w:ascii="Arial" w:hAnsi="Arial" w:cs="Arial"/>
          <w:color w:val="000000"/>
          <w:kern w:val="0"/>
          <w:sz w:val="19"/>
          <w:szCs w:val="19"/>
        </w:rPr>
      </w:pPr>
      <w:r>
        <w:rPr>
          <w:rFonts w:hint="eastAsia" w:ascii="黑体" w:hAnsi="黑体" w:eastAsia="黑体" w:cs="Arial"/>
          <w:color w:val="000000"/>
          <w:kern w:val="0"/>
          <w:sz w:val="22"/>
          <w:szCs w:val="22"/>
        </w:rPr>
        <w:t>四是创新公开机制。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1.风险防控机制。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将财政信息公开纳入《山东省财政厅公共关系风险内部控制办法（试行）》，严把风险防控关。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2.解读回应机制。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在厅门户网站开设“政策解读”专题栏目，坚持“谁起草、谁解读”，在政策制订同时制定解读方案，3个工作日内上载发布有关解读材料，便于企业和社会公众知晓、执行和监督。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3.考核评价机制。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将政务公开工作纳入厅机关绩效考核，所占分值权重不低于4%。</w:t>
      </w:r>
      <w:r>
        <w:rPr>
          <w:rFonts w:hint="eastAsia" w:ascii="仿宋_GB2312" w:hAnsi="Arial" w:eastAsia="仿宋_GB2312" w:cs="Arial"/>
          <w:b/>
          <w:bCs/>
          <w:color w:val="000000"/>
          <w:kern w:val="0"/>
          <w:sz w:val="22"/>
        </w:rPr>
        <w:t>4.日常培训机制。</w:t>
      </w:r>
      <w:r>
        <w:rPr>
          <w:rFonts w:hint="eastAsia" w:ascii="仿宋_GB2312" w:hAnsi="Arial" w:eastAsia="仿宋_GB2312" w:cs="Arial"/>
          <w:color w:val="000000"/>
          <w:kern w:val="0"/>
          <w:sz w:val="22"/>
          <w:szCs w:val="22"/>
        </w:rPr>
        <w:t>举办了全省信息公开工作培训班，邀请省政府和财政部办公厅信息公开办公室领导授课，提高了全省财政干部职工信息公开工作的业务能力。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B02B11"/>
    <w:multiLevelType w:val="singleLevel"/>
    <w:tmpl w:val="09B02B11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0B08ED8"/>
    <w:multiLevelType w:val="singleLevel"/>
    <w:tmpl w:val="70B08ED8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2Yjc4NWJjNmU5MDE5M2JlYTIxMjI3YTcyYzFmNDIifQ=="/>
  </w:docVars>
  <w:rsids>
    <w:rsidRoot w:val="00D836AA"/>
    <w:rsid w:val="00025949"/>
    <w:rsid w:val="00293273"/>
    <w:rsid w:val="00345167"/>
    <w:rsid w:val="006D1E93"/>
    <w:rsid w:val="00863681"/>
    <w:rsid w:val="008B71E7"/>
    <w:rsid w:val="009D26DC"/>
    <w:rsid w:val="00C957FB"/>
    <w:rsid w:val="00D26728"/>
    <w:rsid w:val="00D701EE"/>
    <w:rsid w:val="00D836AA"/>
    <w:rsid w:val="00F42A38"/>
    <w:rsid w:val="238869CD"/>
    <w:rsid w:val="291B1ED2"/>
    <w:rsid w:val="3C6A40D7"/>
    <w:rsid w:val="41DE76A7"/>
    <w:rsid w:val="48CF3FFA"/>
    <w:rsid w:val="5A3C24C2"/>
    <w:rsid w:val="782D3833"/>
    <w:rsid w:val="7ABB72B4"/>
    <w:rsid w:val="7D24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rPr>
      <w:rFonts w:eastAsia="仿宋_GB2312"/>
      <w:sz w:val="32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Strong"/>
    <w:qFormat/>
    <w:uiPriority w:val="22"/>
    <w:rPr>
      <w:rFonts w:hint="default"/>
      <w:b/>
    </w:r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10">
    <w:name w:val="正文文本 Char"/>
    <w:link w:val="2"/>
    <w:qFormat/>
    <w:uiPriority w:val="0"/>
    <w:rPr>
      <w:rFonts w:eastAsia="仿宋_GB2312"/>
      <w:kern w:val="2"/>
      <w:sz w:val="32"/>
      <w:szCs w:val="24"/>
    </w:rPr>
  </w:style>
  <w:style w:type="character" w:customStyle="1" w:styleId="11">
    <w:name w:val="批注框文本 Char"/>
    <w:link w:val="3"/>
    <w:qFormat/>
    <w:uiPriority w:val="0"/>
    <w:rPr>
      <w:kern w:val="2"/>
      <w:sz w:val="18"/>
      <w:szCs w:val="18"/>
    </w:rPr>
  </w:style>
  <w:style w:type="paragraph" w:customStyle="1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常用样式"/>
    <w:basedOn w:val="1"/>
    <w:qFormat/>
    <w:uiPriority w:val="0"/>
    <w:pPr>
      <w:spacing w:line="600" w:lineRule="exact"/>
      <w:ind w:firstLine="64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hart" Target="charts/chart1.xml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enovo\Desktop\&#25919;&#24220;&#20449;&#24687;&#20844;&#24320;&#19987;&#26639;\&#39292;&#29366;&#22270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19444444444446"/>
          <c:y val="0.168549688724925"/>
          <c:w val="0.352638888888889"/>
          <c:h val="0.585427715010375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0.0138908548140895"/>
                  <c:y val="-0.0019569993361302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[饼状图.xls]Sheet1!$B$2:$B$6</c:f>
              <c:strCache>
                <c:ptCount val="5"/>
                <c:pt idx="0">
                  <c:v>同意公开</c:v>
                </c:pt>
                <c:pt idx="1">
                  <c:v>部分公开</c:v>
                </c:pt>
                <c:pt idx="2">
                  <c:v>属于国家秘密，不同意公开</c:v>
                </c:pt>
                <c:pt idx="3">
                  <c:v>不属于本行政机关公开范围</c:v>
                </c:pt>
                <c:pt idx="4">
                  <c:v>未按规定时间进行补正说明，不予受理</c:v>
                </c:pt>
              </c:strCache>
            </c:strRef>
          </c:cat>
          <c:val>
            <c:numRef>
              <c:f>[饼状图.xls]Sheet1!$F$2:$F$6</c:f>
              <c:numCache>
                <c:formatCode>0.00%</c:formatCode>
                <c:ptCount val="5"/>
                <c:pt idx="0">
                  <c:v>0.4875</c:v>
                </c:pt>
                <c:pt idx="1">
                  <c:v>0.05</c:v>
                </c:pt>
                <c:pt idx="2">
                  <c:v>0.0375</c:v>
                </c:pt>
                <c:pt idx="3">
                  <c:v>0.3125</c:v>
                </c:pt>
                <c:pt idx="4">
                  <c:v>0.1125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0875"/>
          <c:y val="0.216278533548536"/>
          <c:w val="0.487083333333333"/>
          <c:h val="0.44823610790869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5068</Words>
  <Characters>5322</Characters>
  <Lines>41</Lines>
  <Paragraphs>11</Paragraphs>
  <TotalTime>7</TotalTime>
  <ScaleCrop>false</ScaleCrop>
  <LinksUpToDate>false</LinksUpToDate>
  <CharactersWithSpaces>5327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2021-01-25T01:26:00Z</dcterms:created>
  <dc:creator>姜文谦</dc:creator>
  <cp:lastModifiedBy>善生</cp:lastModifiedBy>
  <dcterms:modified xsi:type="dcterms:W3CDTF">2022-08-12T07:09:41Z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EF83F040460E479B9F171213395B3001</vt:lpwstr>
  </property>
</Properties>
</file>