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jc w:val="center"/>
        <w:rPr>
          <w:rFonts w:ascii="宋体" w:hAnsi="宋体" w:eastAsia="仿宋_GB2312"/>
          <w:sz w:val="20"/>
        </w:rPr>
      </w:pPr>
      <w:bookmarkStart w:id="2" w:name="_GoBack"/>
      <w:bookmarkEnd w:id="2"/>
    </w:p>
    <w:p>
      <w:pPr>
        <w:overflowPunct w:val="0"/>
        <w:spacing w:line="580" w:lineRule="exact"/>
        <w:jc w:val="center"/>
        <w:rPr>
          <w:rFonts w:ascii="方正小标宋简体" w:hAnsi="宋体" w:eastAsia="方正小标宋简体"/>
          <w:color w:val="000000"/>
          <w:sz w:val="44"/>
        </w:rPr>
      </w:pPr>
      <w:bookmarkStart w:id="0" w:name="Subject"/>
      <w:r>
        <w:rPr>
          <w:rFonts w:hint="eastAsia" w:ascii="方正小标宋简体" w:hAnsi="宋体" w:eastAsia="方正小标宋简体"/>
          <w:color w:val="000000"/>
          <w:sz w:val="44"/>
        </w:rPr>
        <w:t>山东省财政厅</w:t>
      </w:r>
    </w:p>
    <w:p>
      <w:pPr>
        <w:overflowPunct w:val="0"/>
        <w:spacing w:line="580" w:lineRule="exact"/>
        <w:jc w:val="center"/>
        <w:rPr>
          <w:rFonts w:ascii="方正小标宋简体" w:hAnsi="宋体" w:eastAsia="方正小标宋简体"/>
          <w:color w:val="000000"/>
          <w:sz w:val="44"/>
        </w:rPr>
      </w:pPr>
      <w:r>
        <w:rPr>
          <w:rFonts w:hint="eastAsia" w:ascii="方正小标宋简体" w:hAnsi="宋体" w:eastAsia="方正小标宋简体"/>
          <w:color w:val="000000"/>
          <w:sz w:val="44"/>
        </w:rPr>
        <w:t>关于组建</w:t>
      </w:r>
      <w:r>
        <w:rPr>
          <w:rFonts w:ascii="方正小标宋简体" w:hAnsi="宋体" w:eastAsia="方正小标宋简体"/>
          <w:color w:val="000000"/>
          <w:sz w:val="44"/>
        </w:rPr>
        <w:t>2024</w:t>
      </w:r>
      <w:r>
        <w:rPr>
          <w:rFonts w:hint="eastAsia" w:ascii="方正小标宋简体" w:hAnsi="宋体" w:eastAsia="方正小标宋简体"/>
          <w:color w:val="000000"/>
          <w:sz w:val="44"/>
        </w:rPr>
        <w:t>—</w:t>
      </w:r>
      <w:r>
        <w:rPr>
          <w:rFonts w:ascii="方正小标宋简体" w:hAnsi="宋体" w:eastAsia="方正小标宋简体"/>
          <w:color w:val="000000"/>
          <w:sz w:val="44"/>
        </w:rPr>
        <w:t>2026年山东省政府债券</w:t>
      </w:r>
    </w:p>
    <w:p>
      <w:pPr>
        <w:overflowPunct w:val="0"/>
        <w:spacing w:line="580" w:lineRule="exact"/>
        <w:jc w:val="center"/>
        <w:rPr>
          <w:rFonts w:ascii="方正小标宋简体" w:hAnsi="宋体" w:eastAsia="方正小标宋简体"/>
          <w:color w:val="000000"/>
          <w:sz w:val="44"/>
        </w:rPr>
      </w:pPr>
      <w:r>
        <w:rPr>
          <w:rFonts w:ascii="方正小标宋简体" w:hAnsi="宋体" w:eastAsia="方正小标宋简体"/>
          <w:color w:val="000000"/>
          <w:sz w:val="44"/>
        </w:rPr>
        <w:t>公开发行承销团的通知</w:t>
      </w:r>
      <w:bookmarkEnd w:id="0"/>
    </w:p>
    <w:p>
      <w:pPr>
        <w:overflowPunct w:val="0"/>
        <w:spacing w:line="580" w:lineRule="exact"/>
        <w:jc w:val="center"/>
        <w:rPr>
          <w:rFonts w:ascii="方正小标宋简体" w:hAnsi="宋体" w:eastAsia="方正小标宋简体"/>
          <w:color w:val="000000"/>
          <w:sz w:val="44"/>
        </w:rPr>
      </w:pPr>
    </w:p>
    <w:p>
      <w:pPr>
        <w:overflowPunct w:val="0"/>
        <w:spacing w:line="580" w:lineRule="exact"/>
        <w:rPr>
          <w:rFonts w:ascii="仿宋_GB2312" w:hAnsi="宋体" w:eastAsia="仿宋_GB2312"/>
          <w:sz w:val="32"/>
        </w:rPr>
      </w:pPr>
      <w:bookmarkStart w:id="1" w:name="MasterTo"/>
      <w:r>
        <w:rPr>
          <w:rFonts w:hint="eastAsia" w:ascii="仿宋_GB2312" w:hAnsi="宋体" w:eastAsia="仿宋_GB2312"/>
          <w:color w:val="000000"/>
          <w:sz w:val="32"/>
        </w:rPr>
        <w:t>各相关金融机构</w:t>
      </w:r>
      <w:bookmarkEnd w:id="1"/>
      <w:r>
        <w:rPr>
          <w:rFonts w:hint="eastAsia" w:ascii="仿宋_GB2312" w:hAnsi="宋体" w:eastAsia="仿宋_GB2312"/>
          <w:sz w:val="32"/>
        </w:rPr>
        <w:t>：</w:t>
      </w:r>
    </w:p>
    <w:p>
      <w:pPr>
        <w:overflowPunct w:val="0"/>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szCs w:val="32"/>
        </w:rPr>
        <w:t>为做好山东省政府债券发行工作，根据财政部有关规定，决定组建2024—2026年山东省政府债券公开发行承销团（以下简称承销团）。现就有关事项通知如下：</w:t>
      </w:r>
    </w:p>
    <w:p>
      <w:pPr>
        <w:overflowPunct w:val="0"/>
        <w:adjustRightInd w:val="0"/>
        <w:snapToGrid w:val="0"/>
        <w:spacing w:line="580" w:lineRule="exact"/>
        <w:ind w:firstLine="646"/>
        <w:rPr>
          <w:rFonts w:ascii="黑体" w:hAnsi="黑体" w:eastAsia="黑体" w:cs="黑体"/>
          <w:sz w:val="32"/>
          <w:szCs w:val="32"/>
        </w:rPr>
      </w:pPr>
      <w:r>
        <w:rPr>
          <w:rFonts w:hint="eastAsia" w:ascii="黑体" w:hAnsi="黑体" w:eastAsia="黑体" w:cs="黑体"/>
          <w:sz w:val="32"/>
          <w:szCs w:val="32"/>
        </w:rPr>
        <w:t>一、承销团结构</w:t>
      </w:r>
    </w:p>
    <w:p>
      <w:pPr>
        <w:overflowPunct w:val="0"/>
        <w:adjustRightInd w:val="0"/>
        <w:snapToGrid w:val="0"/>
        <w:spacing w:line="580" w:lineRule="exact"/>
        <w:ind w:firstLine="646"/>
        <w:rPr>
          <w:rFonts w:ascii="仿宋_GB2312" w:hAnsi="文星简仿宋" w:eastAsia="仿宋_GB2312" w:cs="文星简仿宋"/>
          <w:sz w:val="32"/>
          <w:szCs w:val="32"/>
        </w:rPr>
      </w:pPr>
      <w:r>
        <w:rPr>
          <w:rFonts w:hint="eastAsia" w:ascii="仿宋_GB2312" w:hAnsi="宋体" w:eastAsia="仿宋_GB2312"/>
          <w:sz w:val="32"/>
          <w:szCs w:val="32"/>
        </w:rPr>
        <w:t>本次组建的承销团负责承销2024—2026年山东省政府公开发行的债券，分为主承销商和一般承销商。</w:t>
      </w:r>
    </w:p>
    <w:p>
      <w:pPr>
        <w:overflowPunct w:val="0"/>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二、申请参加承销团条件</w:t>
      </w:r>
    </w:p>
    <w:p>
      <w:pPr>
        <w:overflowPunct w:val="0"/>
        <w:adjustRightInd w:val="0"/>
        <w:snapToGrid w:val="0"/>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（一）基本条件</w:t>
      </w:r>
    </w:p>
    <w:p>
      <w:pPr>
        <w:overflowPunct w:val="0"/>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申请成为承销团成员的金融机构，必须具备以下基本条件：</w:t>
      </w:r>
    </w:p>
    <w:p>
      <w:pPr>
        <w:overflowPunct w:val="0"/>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1.在中国境内依法成立，经营范围包括债券承销。除外国银行分行外，其他金融机构均应具有独立法人资格；外国银行分行参与承销债券，应取得其总行对该事项的特定授权。</w:t>
      </w:r>
    </w:p>
    <w:p>
      <w:pPr>
        <w:overflowPunct w:val="0"/>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2.依法开展经营活动，近3年（2021—2023年）在经营活动中无重大违法记录，信誉良好。</w:t>
      </w:r>
    </w:p>
    <w:p>
      <w:pPr>
        <w:overflowPunct w:val="0"/>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3.财务稳健，资本充足率、偿付能力或者净资本状况等指标达到行业监管标准，治理体系健全，内控机制完善，具有较强的风险防控能力。</w:t>
      </w:r>
    </w:p>
    <w:p>
      <w:pPr>
        <w:overflowPunct w:val="0"/>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4.愿意并有能力履行山东省政府债券公开发行承销协议（以下简称债券承销协议）等约定的各项义务。</w:t>
      </w:r>
    </w:p>
    <w:p>
      <w:pPr>
        <w:numPr>
          <w:ilvl w:val="0"/>
          <w:numId w:val="1"/>
        </w:numPr>
        <w:overflowPunct w:val="0"/>
        <w:adjustRightInd w:val="0"/>
        <w:snapToGrid w:val="0"/>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分类条件</w:t>
      </w:r>
    </w:p>
    <w:p>
      <w:pPr>
        <w:overflowPunct w:val="0"/>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符合上述条件的金融机构，应结合自身发展定位和承销意愿，选择申请主承销商和一般承销商。</w:t>
      </w:r>
    </w:p>
    <w:p>
      <w:pPr>
        <w:overflowPunct w:val="0"/>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申请成为主承销商的机构，单一价位最高投标量不高于每期债券发行量的35%。银行类最低投标量为每期债券发行量的11%，最低承销量为每期债券发行量的8%；券商类最低投标量为每期债券发行量的5%，最低承销量为每期债券发行量的1%。</w:t>
      </w:r>
    </w:p>
    <w:p>
      <w:pPr>
        <w:overflowPunct w:val="0"/>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2.申请成为一般承销商的机构，单一价位最高投标量不得高于每期债券发行量的25%，最低投标量为每期债券发行量的2%，最低承销量为每期债券发行量的0.3%。</w:t>
      </w:r>
    </w:p>
    <w:p>
      <w:pPr>
        <w:overflowPunct w:val="0"/>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三、承销团成员的确定方法</w:t>
      </w:r>
    </w:p>
    <w:p>
      <w:pPr>
        <w:overflowPunct w:val="0"/>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山东省财政厅将组织对申请机构进行资格审核，遵循“公开、公平、公正”的原则，根据机构申请情况，综合考虑其承销意愿、债市能力、资本经营及风险防控状况等因素择优确定。</w:t>
      </w:r>
    </w:p>
    <w:p>
      <w:pPr>
        <w:overflowPunct w:val="0"/>
        <w:adjustRightInd w:val="0"/>
        <w:snapToGrid w:val="0"/>
        <w:spacing w:line="580" w:lineRule="exact"/>
        <w:ind w:firstLine="640" w:firstLineChars="200"/>
        <w:rPr>
          <w:rFonts w:ascii="仿宋_GB2312" w:hAnsi="宋体" w:eastAsia="仿宋_GB2312"/>
          <w:sz w:val="32"/>
          <w:szCs w:val="32"/>
        </w:rPr>
      </w:pPr>
      <w:r>
        <w:rPr>
          <w:rFonts w:hint="eastAsia" w:ascii="仿宋_GB2312" w:hAnsi="仿宋_GB2312" w:eastAsia="仿宋_GB2312" w:cs="仿宋_GB2312"/>
          <w:sz w:val="32"/>
          <w:szCs w:val="32"/>
        </w:rPr>
        <w:t>（一）2021</w:t>
      </w:r>
      <w:r>
        <w:rPr>
          <w:rFonts w:hint="eastAsia" w:ascii="仿宋_GB2312" w:hAnsi="宋体" w:eastAsia="仿宋_GB2312"/>
          <w:sz w:val="32"/>
          <w:szCs w:val="32"/>
        </w:rPr>
        <w:t>—</w:t>
      </w:r>
      <w:r>
        <w:rPr>
          <w:rFonts w:hint="eastAsia" w:ascii="仿宋_GB2312" w:hAnsi="仿宋_GB2312" w:eastAsia="仿宋_GB2312" w:cs="仿宋_GB2312"/>
          <w:sz w:val="32"/>
          <w:szCs w:val="32"/>
        </w:rPr>
        <w:t>2023年承销团成员中的主承销商，三年累计承销量完成主承销商发行规则规定比例的，经自愿申请，可直接入选本届承销团主承销商。</w:t>
      </w:r>
    </w:p>
    <w:p>
      <w:pPr>
        <w:overflowPunct w:val="0"/>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（二）2021—2023年承销团成员中，三年累计承销量在承销团排名前80%的机构，经自愿申请，可优先入选本届承销团。</w:t>
      </w:r>
    </w:p>
    <w:p>
      <w:pPr>
        <w:numPr>
          <w:ilvl w:val="0"/>
          <w:numId w:val="1"/>
        </w:numPr>
        <w:overflowPunct w:val="0"/>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对于本次申请入团的金融机构，经综合评审，择优选定主承销商和一般承销商。</w:t>
      </w:r>
    </w:p>
    <w:p>
      <w:pPr>
        <w:overflowPunct w:val="0"/>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（四）2024—2026年山东省政府债券承销团组建后，山东省财政厅将与承销团成员签订债券承销协议（详见附件2），确认其承销资格并向社会公布。</w:t>
      </w:r>
    </w:p>
    <w:p>
      <w:pPr>
        <w:overflowPunct w:val="0"/>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四、承销团管理方法</w:t>
      </w:r>
    </w:p>
    <w:p>
      <w:pPr>
        <w:overflowPunct w:val="0"/>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承销团组建后，实行届期内按年度动态调整。山东省财政厅在年度债券发行任务完成后，对承销团成员进行考评（具体指标、权重及计分方法见附件</w:t>
      </w:r>
      <w:r>
        <w:rPr>
          <w:rFonts w:ascii="仿宋_GB2312" w:hAnsi="宋体" w:eastAsia="仿宋_GB2312"/>
          <w:sz w:val="32"/>
          <w:szCs w:val="32"/>
        </w:rPr>
        <w:t>3），并结合考评结果、机构意愿、机构综合实力等因素动态调整承销团。</w:t>
      </w:r>
    </w:p>
    <w:p>
      <w:pPr>
        <w:overflowPunct w:val="0"/>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（一）未能履行承销协议约定义务的主承销商，调整为一般承销商。因客观原因造成主承销商无法履行最低承销量等协议约定义务的，可不作调整。</w:t>
      </w:r>
    </w:p>
    <w:p>
      <w:pPr>
        <w:overflowPunct w:val="0"/>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（二）年度考评得分超过同类型主承销商的一般承销商，可自愿申请成为主承销商。</w:t>
      </w:r>
    </w:p>
    <w:p>
      <w:pPr>
        <w:overflowPunct w:val="0"/>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（三）年度考评得分排名末三位的一般承销商退出承销团，同时择优选取承销团外申请机构入团。</w:t>
      </w:r>
    </w:p>
    <w:p>
      <w:pPr>
        <w:overflowPunct w:val="0"/>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五、申请材料报送</w:t>
      </w:r>
    </w:p>
    <w:p>
      <w:pPr>
        <w:overflowPunct w:val="0"/>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请符合条件且有意向成为承销团成员的金融机构，于2023年12月19日前（含）将加盖总机构（或被授权分支机构）公章的下列材料邮寄至山东省财政厅，报名时间以山东省财政厅收到报名材料时间为准，逾期不予受理。</w:t>
      </w:r>
    </w:p>
    <w:p>
      <w:pPr>
        <w:overflowPunct w:val="0"/>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（一）2024—2026年山东省政府债券公开发行承销团成员申请表（详见附件1）。</w:t>
      </w:r>
    </w:p>
    <w:p>
      <w:pPr>
        <w:overflowPunct w:val="0"/>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（二）法人营业执照、金融业务许可证或其他具有债券承销业务资格的证明材料复印件。</w:t>
      </w:r>
    </w:p>
    <w:p>
      <w:pPr>
        <w:overflowPunct w:val="0"/>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（三）总机构授权委托书（由被授权分支机构报名的需提供）。</w:t>
      </w:r>
    </w:p>
    <w:p>
      <w:pPr>
        <w:overflowPunct w:val="0"/>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（四）总机构对承销政府债券的特定授权（外国银行分行报名的需提供）。</w:t>
      </w:r>
    </w:p>
    <w:p>
      <w:pPr>
        <w:overflowPunct w:val="0"/>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（五）2022年度报告中封面及注册资本、总资产、资本经营及风险防控状况指标（详见附件1）的相关页面复印件，同时请在相关指标处予以标注。</w:t>
      </w:r>
    </w:p>
    <w:p>
      <w:pPr>
        <w:overflowPunct w:val="0"/>
        <w:adjustRightInd w:val="0"/>
        <w:snapToGrid w:val="0"/>
        <w:spacing w:line="580" w:lineRule="exact"/>
        <w:ind w:firstLine="480" w:firstLineChars="150"/>
        <w:rPr>
          <w:rFonts w:ascii="仿宋_GB2312" w:hAnsi="宋体" w:eastAsia="仿宋_GB2312"/>
          <w:sz w:val="32"/>
          <w:szCs w:val="32"/>
        </w:rPr>
      </w:pPr>
      <w:r>
        <w:rPr>
          <w:rFonts w:hint="eastAsia" w:ascii="仿宋_GB2312" w:hAnsi="宋体" w:eastAsia="仿宋_GB2312"/>
          <w:sz w:val="32"/>
          <w:szCs w:val="32"/>
        </w:rPr>
        <w:t xml:space="preserve"> 联系方式：</w:t>
      </w:r>
    </w:p>
    <w:p>
      <w:pPr>
        <w:overflowPunct w:val="0"/>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szCs w:val="32"/>
        </w:rPr>
        <w:t>收件人：山东省财政厅国库处</w:t>
      </w:r>
    </w:p>
    <w:p>
      <w:pPr>
        <w:overflowPunct w:val="0"/>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szCs w:val="32"/>
        </w:rPr>
        <w:t>地  址：济南市市中区济大路3号1103房间</w:t>
      </w:r>
    </w:p>
    <w:p>
      <w:pPr>
        <w:overflowPunct w:val="0"/>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邮  编：250002</w:t>
      </w:r>
    </w:p>
    <w:p>
      <w:pPr>
        <w:overflowPunct w:val="0"/>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szCs w:val="32"/>
        </w:rPr>
        <w:t>联系人：黄跃群</w:t>
      </w:r>
    </w:p>
    <w:p>
      <w:pPr>
        <w:overflowPunct w:val="0"/>
        <w:adjustRightInd w:val="0"/>
        <w:snapToGrid w:val="0"/>
        <w:spacing w:line="580" w:lineRule="exact"/>
        <w:ind w:firstLine="640" w:firstLineChars="200"/>
        <w:rPr>
          <w:rFonts w:ascii="仿宋_GB2312" w:hAnsi="宋体" w:eastAsia="仿宋_GB2312"/>
          <w:color w:val="000000"/>
          <w:sz w:val="32"/>
        </w:rPr>
      </w:pPr>
      <w:r>
        <w:rPr>
          <w:rFonts w:hint="eastAsia" w:ascii="仿宋_GB2312" w:hAnsi="宋体" w:eastAsia="仿宋_GB2312"/>
          <w:sz w:val="32"/>
          <w:szCs w:val="32"/>
        </w:rPr>
        <w:t xml:space="preserve">电  话：0531—51769702 </w:t>
      </w:r>
    </w:p>
    <w:p>
      <w:pPr>
        <w:overflowPunct w:val="0"/>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传  真：0531—51769594</w:t>
      </w:r>
    </w:p>
    <w:p>
      <w:pPr>
        <w:overflowPunct w:val="0"/>
        <w:adjustRightInd w:val="0"/>
        <w:snapToGrid w:val="0"/>
        <w:spacing w:line="580" w:lineRule="exact"/>
        <w:ind w:firstLine="800" w:firstLineChars="250"/>
        <w:rPr>
          <w:rFonts w:ascii="仿宋_GB2312" w:hAnsi="宋体" w:eastAsia="仿宋_GB2312"/>
          <w:sz w:val="32"/>
          <w:szCs w:val="32"/>
        </w:rPr>
      </w:pPr>
    </w:p>
    <w:p>
      <w:pPr>
        <w:overflowPunct w:val="0"/>
        <w:adjustRightInd w:val="0"/>
        <w:snapToGrid w:val="0"/>
        <w:spacing w:line="580" w:lineRule="exact"/>
        <w:ind w:left="1920" w:hanging="1920" w:hangingChars="6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附件：1.2024</w:t>
      </w:r>
      <w:r>
        <w:rPr>
          <w:rFonts w:hint="eastAsia" w:ascii="仿宋_GB2312" w:hAnsi="宋体" w:eastAsia="仿宋_GB2312"/>
          <w:sz w:val="32"/>
          <w:szCs w:val="32"/>
        </w:rPr>
        <w:t>—</w:t>
      </w:r>
      <w:r>
        <w:rPr>
          <w:rFonts w:hint="eastAsia" w:ascii="仿宋_GB2312" w:hAnsi="仿宋_GB2312" w:eastAsia="仿宋_GB2312" w:cs="仿宋_GB2312"/>
          <w:sz w:val="32"/>
          <w:szCs w:val="32"/>
        </w:rPr>
        <w:t>2026年山东省政府债券公开发行承销团成员申请表</w:t>
      </w:r>
    </w:p>
    <w:p>
      <w:pPr>
        <w:overflowPunct w:val="0"/>
        <w:adjustRightInd w:val="0"/>
        <w:snapToGrid w:val="0"/>
        <w:spacing w:line="580" w:lineRule="exact"/>
        <w:ind w:left="1920" w:hanging="1920" w:hangingChars="6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2.2024</w:t>
      </w:r>
      <w:r>
        <w:rPr>
          <w:rFonts w:hint="eastAsia" w:ascii="仿宋_GB2312" w:hAnsi="宋体" w:eastAsia="仿宋_GB2312"/>
          <w:sz w:val="32"/>
          <w:szCs w:val="32"/>
        </w:rPr>
        <w:t>—</w:t>
      </w:r>
      <w:r>
        <w:rPr>
          <w:rFonts w:hint="eastAsia" w:ascii="仿宋_GB2312" w:hAnsi="仿宋_GB2312" w:eastAsia="仿宋_GB2312" w:cs="仿宋_GB2312"/>
          <w:sz w:val="32"/>
          <w:szCs w:val="32"/>
        </w:rPr>
        <w:t>2026年山东省政府债券公开发行承销协议（范本）</w:t>
      </w:r>
    </w:p>
    <w:p>
      <w:pPr>
        <w:overflowPunct w:val="0"/>
        <w:adjustRightInd w:val="0"/>
        <w:snapToGrid w:val="0"/>
        <w:spacing w:line="580" w:lineRule="exact"/>
        <w:ind w:left="1890" w:hanging="1890" w:hangingChars="900"/>
        <w:rPr>
          <w:rFonts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 xml:space="preserve"> 3.2024</w:t>
      </w:r>
      <w:r>
        <w:rPr>
          <w:rFonts w:hint="eastAsia" w:ascii="仿宋_GB2312" w:hAnsi="宋体" w:eastAsia="仿宋_GB2312"/>
          <w:sz w:val="32"/>
          <w:szCs w:val="32"/>
        </w:rPr>
        <w:t>—</w:t>
      </w:r>
      <w:r>
        <w:rPr>
          <w:rFonts w:hint="eastAsia" w:ascii="仿宋_GB2312" w:hAnsi="仿宋_GB2312" w:eastAsia="仿宋_GB2312" w:cs="仿宋_GB2312"/>
          <w:sz w:val="32"/>
          <w:szCs w:val="32"/>
        </w:rPr>
        <w:t>2026年山东省政府债券公开发行承销团管理评分指标</w:t>
      </w:r>
    </w:p>
    <w:p>
      <w:pPr>
        <w:overflowPunct w:val="0"/>
        <w:adjustRightInd w:val="0"/>
        <w:snapToGrid w:val="0"/>
        <w:spacing w:line="580" w:lineRule="exact"/>
        <w:rPr>
          <w:rFonts w:ascii="仿宋_GB2312" w:eastAsia="仿宋_GB2312"/>
          <w:sz w:val="32"/>
        </w:rPr>
      </w:pPr>
    </w:p>
    <w:p>
      <w:pPr>
        <w:overflowPunct w:val="0"/>
        <w:adjustRightInd w:val="0"/>
        <w:snapToGrid w:val="0"/>
        <w:spacing w:line="580" w:lineRule="exact"/>
        <w:rPr>
          <w:rFonts w:ascii="仿宋_GB2312" w:eastAsia="仿宋_GB2312"/>
          <w:sz w:val="32"/>
        </w:rPr>
      </w:pPr>
    </w:p>
    <w:p>
      <w:pPr>
        <w:overflowPunct w:val="0"/>
        <w:adjustRightInd w:val="0"/>
        <w:snapToGrid w:val="0"/>
        <w:spacing w:line="580" w:lineRule="exact"/>
        <w:ind w:firstLine="5760" w:firstLineChars="1800"/>
        <w:rPr>
          <w:rFonts w:ascii="仿宋_GB2312" w:eastAsia="仿宋_GB2312"/>
          <w:sz w:val="32"/>
        </w:rPr>
      </w:pPr>
    </w:p>
    <w:p>
      <w:pPr>
        <w:overflowPunct w:val="0"/>
        <w:adjustRightInd w:val="0"/>
        <w:snapToGrid w:val="0"/>
        <w:spacing w:line="580" w:lineRule="exact"/>
        <w:ind w:firstLine="5760" w:firstLineChars="1800"/>
        <w:rPr>
          <w:rFonts w:ascii="仿宋_GB2312" w:hAnsi="仿宋_GB2312" w:eastAsia="仿宋_GB2312" w:cs="仿宋_GB2312"/>
          <w:sz w:val="32"/>
          <w:szCs w:val="32"/>
        </w:rPr>
      </w:pPr>
      <w:r>
        <w:rPr>
          <w:rFonts w:hint="eastAsia" w:ascii="仿宋_GB2312" w:eastAsia="仿宋_GB2312"/>
          <w:sz w:val="32"/>
        </w:rPr>
        <w:t>山东省财政厅</w:t>
      </w:r>
    </w:p>
    <w:p>
      <w:pPr>
        <w:overflowPunct w:val="0"/>
        <w:adjustRightInd w:val="0"/>
        <w:snapToGrid w:val="0"/>
        <w:spacing w:line="580" w:lineRule="exact"/>
        <w:ind w:firstLine="5526" w:firstLineChars="1727"/>
        <w:rPr>
          <w:rFonts w:ascii="仿宋_GB2312" w:eastAsia="仿宋_GB2312"/>
          <w:sz w:val="32"/>
        </w:rPr>
      </w:pPr>
      <w:r>
        <w:rPr>
          <w:rFonts w:hint="eastAsia" w:ascii="仿宋_GB2312" w:eastAsia="仿宋_GB2312"/>
          <w:sz w:val="32"/>
        </w:rPr>
        <w:t>2023年12月13日</w:t>
      </w:r>
    </w:p>
    <w:p>
      <w:pPr>
        <w:adjustRightInd w:val="0"/>
        <w:snapToGrid w:val="0"/>
        <w:spacing w:line="580" w:lineRule="exact"/>
        <w:ind w:left="-420" w:leftChars="-200"/>
        <w:rPr>
          <w:rFonts w:ascii="黑体" w:hAnsi="黑体" w:eastAsia="黑体" w:cs="黑体"/>
          <w:b/>
          <w:bCs/>
          <w:kern w:val="0"/>
          <w:sz w:val="44"/>
          <w:szCs w:val="44"/>
        </w:rPr>
      </w:pPr>
      <w:r>
        <w:rPr>
          <w:rFonts w:ascii="仿宋_GB2312" w:eastAsia="仿宋_GB2312"/>
          <w:sz w:val="28"/>
          <w:szCs w:val="28"/>
        </w:rPr>
        <w:br w:type="page"/>
      </w:r>
      <w:r>
        <w:rPr>
          <w:rFonts w:hint="eastAsia" w:ascii="黑体" w:hAnsi="黑体" w:eastAsia="黑体" w:cs="黑体"/>
          <w:sz w:val="32"/>
          <w:szCs w:val="32"/>
        </w:rPr>
        <w:t>附件</w:t>
      </w:r>
      <w:r>
        <w:rPr>
          <w:rFonts w:ascii="黑体" w:hAnsi="黑体" w:eastAsia="黑体" w:cs="黑体"/>
          <w:sz w:val="32"/>
          <w:szCs w:val="32"/>
        </w:rPr>
        <w:t>1</w:t>
      </w:r>
    </w:p>
    <w:p>
      <w:pPr>
        <w:adjustRightInd w:val="0"/>
        <w:snapToGrid w:val="0"/>
        <w:spacing w:line="580" w:lineRule="exact"/>
        <w:ind w:left="-420" w:leftChars="-200"/>
        <w:jc w:val="center"/>
        <w:rPr>
          <w:rFonts w:ascii="方正小标宋简体" w:hAnsi="宋体" w:eastAsia="方正小标宋简体" w:cs="宋体"/>
          <w:spacing w:val="-6"/>
          <w:kern w:val="0"/>
          <w:sz w:val="40"/>
          <w:szCs w:val="36"/>
        </w:rPr>
      </w:pPr>
      <w:r>
        <w:rPr>
          <w:rFonts w:ascii="方正小标宋简体" w:hAnsi="宋体" w:eastAsia="方正小标宋简体" w:cs="宋体"/>
          <w:spacing w:val="-6"/>
          <w:kern w:val="0"/>
          <w:sz w:val="40"/>
          <w:szCs w:val="36"/>
        </w:rPr>
        <w:t>2024</w:t>
      </w:r>
      <w:r>
        <w:rPr>
          <w:rFonts w:hint="eastAsia" w:ascii="方正小标宋简体" w:hAnsi="宋体" w:eastAsia="方正小标宋简体" w:cs="宋体"/>
          <w:spacing w:val="-6"/>
          <w:kern w:val="0"/>
          <w:sz w:val="40"/>
          <w:szCs w:val="36"/>
        </w:rPr>
        <w:t>—</w:t>
      </w:r>
      <w:r>
        <w:rPr>
          <w:rFonts w:ascii="方正小标宋简体" w:hAnsi="宋体" w:eastAsia="方正小标宋简体" w:cs="宋体"/>
          <w:spacing w:val="-6"/>
          <w:kern w:val="0"/>
          <w:sz w:val="40"/>
          <w:szCs w:val="36"/>
        </w:rPr>
        <w:t>2026</w:t>
      </w:r>
      <w:r>
        <w:rPr>
          <w:rFonts w:hint="eastAsia" w:ascii="方正小标宋简体" w:hAnsi="宋体" w:eastAsia="方正小标宋简体" w:cs="宋体"/>
          <w:spacing w:val="-6"/>
          <w:kern w:val="0"/>
          <w:sz w:val="40"/>
          <w:szCs w:val="36"/>
        </w:rPr>
        <w:t>年山东省政府债券</w:t>
      </w:r>
    </w:p>
    <w:p>
      <w:pPr>
        <w:adjustRightInd w:val="0"/>
        <w:snapToGrid w:val="0"/>
        <w:spacing w:line="580" w:lineRule="exact"/>
        <w:ind w:left="-420" w:leftChars="-200"/>
        <w:jc w:val="center"/>
        <w:rPr>
          <w:rFonts w:ascii="黑体" w:hAnsi="黑体" w:eastAsia="黑体" w:cs="宋体"/>
          <w:b/>
          <w:bCs/>
          <w:kern w:val="0"/>
          <w:sz w:val="40"/>
          <w:szCs w:val="44"/>
        </w:rPr>
      </w:pPr>
      <w:r>
        <w:rPr>
          <w:rFonts w:hint="eastAsia" w:ascii="方正小标宋简体" w:hAnsi="宋体" w:eastAsia="方正小标宋简体" w:cs="宋体"/>
          <w:spacing w:val="-6"/>
          <w:kern w:val="0"/>
          <w:sz w:val="40"/>
          <w:szCs w:val="36"/>
        </w:rPr>
        <w:t>公开发行承销团成员申请表</w:t>
      </w:r>
    </w:p>
    <w:p>
      <w:pPr>
        <w:widowControl/>
        <w:spacing w:line="460" w:lineRule="exact"/>
        <w:jc w:val="right"/>
        <w:rPr>
          <w:rFonts w:ascii="仿宋_GB2312" w:eastAsia="仿宋_GB2312"/>
          <w:kern w:val="0"/>
          <w:sz w:val="24"/>
        </w:rPr>
      </w:pPr>
      <w:r>
        <w:rPr>
          <w:rFonts w:hint="eastAsia" w:ascii="仿宋_GB2312" w:eastAsia="仿宋_GB2312"/>
          <w:kern w:val="0"/>
          <w:sz w:val="24"/>
        </w:rPr>
        <w:t>填表日期：     年     月     日</w:t>
      </w:r>
    </w:p>
    <w:tbl>
      <w:tblPr>
        <w:tblStyle w:val="6"/>
        <w:tblW w:w="100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7"/>
        <w:gridCol w:w="4469"/>
        <w:gridCol w:w="41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0008" w:type="dxa"/>
            <w:gridSpan w:val="3"/>
          </w:tcPr>
          <w:p>
            <w:pPr>
              <w:widowControl/>
              <w:spacing w:line="400" w:lineRule="exact"/>
              <w:rPr>
                <w:rFonts w:ascii="仿宋_GB2312" w:eastAsia="仿宋_GB2312"/>
                <w:kern w:val="0"/>
                <w:sz w:val="24"/>
              </w:rPr>
            </w:pPr>
            <w:r>
              <w:rPr>
                <w:rFonts w:hint="eastAsia" w:ascii="仿宋_GB2312" w:eastAsia="仿宋_GB2312"/>
                <w:kern w:val="0"/>
                <w:sz w:val="24"/>
              </w:rPr>
              <w:t>机构全称（加盖公章）：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0008" w:type="dxa"/>
            <w:gridSpan w:val="3"/>
          </w:tcPr>
          <w:p>
            <w:pPr>
              <w:widowControl/>
              <w:spacing w:line="400" w:lineRule="exact"/>
              <w:rPr>
                <w:rFonts w:ascii="仿宋_GB2312" w:eastAsia="仿宋_GB2312"/>
                <w:kern w:val="0"/>
                <w:sz w:val="24"/>
              </w:rPr>
            </w:pPr>
            <w:r>
              <w:rPr>
                <w:rFonts w:hint="eastAsia" w:ascii="仿宋_GB2312" w:eastAsia="仿宋_GB2312"/>
                <w:kern w:val="0"/>
                <w:sz w:val="24"/>
              </w:rPr>
              <w:t>总机构所在地（市）：                是否在济南市设有分支机构：是（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0008" w:type="dxa"/>
            <w:gridSpan w:val="3"/>
          </w:tcPr>
          <w:p>
            <w:pPr>
              <w:widowControl/>
              <w:spacing w:line="400" w:lineRule="exact"/>
              <w:rPr>
                <w:rFonts w:ascii="仿宋_GB2312" w:eastAsia="仿宋_GB2312"/>
                <w:kern w:val="0"/>
                <w:sz w:val="24"/>
              </w:rPr>
            </w:pPr>
            <w:r>
              <w:rPr>
                <w:rFonts w:hint="eastAsia" w:ascii="仿宋_GB2312" w:eastAsia="仿宋_GB2312"/>
                <w:kern w:val="0"/>
                <w:sz w:val="24"/>
              </w:rPr>
              <w:t xml:space="preserve">2022年末注册资本：        亿元             2022年末总资产：       亿元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377" w:type="dxa"/>
            <w:vMerge w:val="restart"/>
            <w:vAlign w:val="center"/>
          </w:tcPr>
          <w:p>
            <w:pPr>
              <w:widowControl/>
              <w:spacing w:line="400" w:lineRule="exact"/>
              <w:jc w:val="center"/>
              <w:rPr>
                <w:rFonts w:ascii="仿宋_GB2312" w:eastAsia="仿宋_GB2312"/>
                <w:kern w:val="0"/>
                <w:sz w:val="24"/>
              </w:rPr>
            </w:pPr>
            <w:r>
              <w:rPr>
                <w:rFonts w:hint="eastAsia" w:ascii="仿宋_GB2312" w:eastAsia="仿宋_GB2312"/>
                <w:kern w:val="0"/>
                <w:sz w:val="24"/>
              </w:rPr>
              <w:t>承销意愿</w:t>
            </w:r>
          </w:p>
        </w:tc>
        <w:tc>
          <w:tcPr>
            <w:tcW w:w="8631" w:type="dxa"/>
            <w:gridSpan w:val="2"/>
            <w:vAlign w:val="center"/>
          </w:tcPr>
          <w:p>
            <w:pPr>
              <w:widowControl/>
              <w:spacing w:line="400" w:lineRule="exact"/>
              <w:rPr>
                <w:rFonts w:ascii="仿宋_GB2312" w:eastAsia="仿宋_GB2312"/>
                <w:kern w:val="0"/>
                <w:sz w:val="24"/>
              </w:rPr>
            </w:pPr>
            <w:r>
              <w:rPr>
                <w:rFonts w:hint="eastAsia" w:ascii="仿宋_GB2312" w:eastAsia="仿宋_GB2312"/>
                <w:kern w:val="0"/>
                <w:sz w:val="24"/>
              </w:rPr>
              <w:t>2024—2026年山东省政府债券承销意愿比例：      %、       %、       %</w:t>
            </w:r>
          </w:p>
          <w:p>
            <w:pPr>
              <w:widowControl/>
              <w:jc w:val="left"/>
              <w:rPr>
                <w:rFonts w:ascii="仿宋_GB2312"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377" w:type="dxa"/>
            <w:vMerge w:val="continue"/>
            <w:vAlign w:val="center"/>
          </w:tcPr>
          <w:p>
            <w:pPr>
              <w:widowControl/>
              <w:spacing w:line="400" w:lineRule="exact"/>
              <w:jc w:val="center"/>
              <w:rPr>
                <w:rFonts w:ascii="仿宋_GB2312" w:eastAsia="仿宋_GB2312"/>
                <w:kern w:val="0"/>
                <w:sz w:val="24"/>
              </w:rPr>
            </w:pPr>
          </w:p>
        </w:tc>
        <w:tc>
          <w:tcPr>
            <w:tcW w:w="8631" w:type="dxa"/>
            <w:gridSpan w:val="2"/>
          </w:tcPr>
          <w:p>
            <w:pPr>
              <w:widowControl/>
              <w:spacing w:line="400" w:lineRule="exact"/>
              <w:rPr>
                <w:rFonts w:ascii="仿宋_GB2312" w:eastAsia="仿宋_GB2312"/>
                <w:kern w:val="0"/>
                <w:sz w:val="24"/>
              </w:rPr>
            </w:pPr>
            <w:r>
              <w:rPr>
                <w:rFonts w:hint="eastAsia" w:ascii="仿宋_GB2312" w:eastAsia="仿宋_GB2312"/>
                <w:kern w:val="0"/>
                <w:sz w:val="24"/>
              </w:rPr>
              <w:t>是否有主承意愿：是（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377" w:type="dxa"/>
            <w:vMerge w:val="restart"/>
            <w:vAlign w:val="center"/>
          </w:tcPr>
          <w:p>
            <w:pPr>
              <w:widowControl/>
              <w:spacing w:line="400" w:lineRule="exact"/>
              <w:jc w:val="center"/>
              <w:rPr>
                <w:rFonts w:ascii="仿宋_GB2312" w:eastAsia="仿宋_GB2312"/>
                <w:kern w:val="0"/>
                <w:sz w:val="24"/>
              </w:rPr>
            </w:pPr>
            <w:r>
              <w:rPr>
                <w:rFonts w:hint="eastAsia" w:ascii="仿宋_GB2312" w:eastAsia="仿宋_GB2312"/>
                <w:kern w:val="0"/>
                <w:sz w:val="24"/>
              </w:rPr>
              <w:t>债市能力</w:t>
            </w:r>
          </w:p>
        </w:tc>
        <w:tc>
          <w:tcPr>
            <w:tcW w:w="8631" w:type="dxa"/>
            <w:gridSpan w:val="2"/>
          </w:tcPr>
          <w:p>
            <w:pPr>
              <w:widowControl/>
              <w:spacing w:line="400" w:lineRule="exact"/>
              <w:jc w:val="center"/>
              <w:rPr>
                <w:rFonts w:ascii="仿宋_GB2312" w:eastAsia="仿宋_GB2312"/>
                <w:kern w:val="0"/>
                <w:sz w:val="24"/>
              </w:rPr>
            </w:pPr>
            <w:r>
              <w:rPr>
                <w:rFonts w:hint="eastAsia" w:ascii="仿宋_GB2312" w:eastAsia="仿宋_GB2312"/>
                <w:kern w:val="0"/>
                <w:sz w:val="24"/>
              </w:rPr>
              <w:t>2021—2023年记账式国债承销团成员：甲类（  ）  乙类（  ）  非成员（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377" w:type="dxa"/>
            <w:vMerge w:val="continue"/>
            <w:vAlign w:val="center"/>
          </w:tcPr>
          <w:p>
            <w:pPr>
              <w:widowControl/>
              <w:spacing w:line="400" w:lineRule="exact"/>
              <w:jc w:val="center"/>
              <w:rPr>
                <w:rFonts w:ascii="仿宋_GB2312" w:eastAsia="仿宋_GB2312"/>
                <w:kern w:val="0"/>
                <w:sz w:val="24"/>
              </w:rPr>
            </w:pPr>
          </w:p>
        </w:tc>
        <w:tc>
          <w:tcPr>
            <w:tcW w:w="8631" w:type="dxa"/>
            <w:gridSpan w:val="2"/>
          </w:tcPr>
          <w:p>
            <w:pPr>
              <w:widowControl/>
              <w:spacing w:line="400" w:lineRule="exact"/>
              <w:rPr>
                <w:rFonts w:ascii="仿宋_GB2312" w:eastAsia="仿宋_GB2312"/>
                <w:kern w:val="0"/>
                <w:sz w:val="24"/>
              </w:rPr>
            </w:pPr>
            <w:r>
              <w:rPr>
                <w:rFonts w:hint="eastAsia" w:ascii="仿宋_GB2312" w:eastAsia="仿宋_GB2312"/>
                <w:kern w:val="0"/>
                <w:sz w:val="24"/>
              </w:rPr>
              <w:t>2023年记账式国债承销量（截止到12月12日）：                  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377" w:type="dxa"/>
            <w:vMerge w:val="continue"/>
            <w:vAlign w:val="center"/>
          </w:tcPr>
          <w:p>
            <w:pPr>
              <w:widowControl/>
              <w:spacing w:line="400" w:lineRule="exact"/>
              <w:jc w:val="center"/>
              <w:rPr>
                <w:rFonts w:ascii="仿宋_GB2312" w:eastAsia="仿宋_GB2312"/>
                <w:kern w:val="0"/>
                <w:sz w:val="24"/>
              </w:rPr>
            </w:pPr>
          </w:p>
        </w:tc>
        <w:tc>
          <w:tcPr>
            <w:tcW w:w="8631" w:type="dxa"/>
            <w:gridSpan w:val="2"/>
          </w:tcPr>
          <w:p>
            <w:pPr>
              <w:widowControl/>
              <w:spacing w:line="400" w:lineRule="exact"/>
              <w:rPr>
                <w:rFonts w:ascii="仿宋_GB2312" w:eastAsia="仿宋_GB2312"/>
                <w:kern w:val="0"/>
                <w:sz w:val="24"/>
              </w:rPr>
            </w:pPr>
            <w:r>
              <w:rPr>
                <w:rFonts w:hint="eastAsia" w:ascii="仿宋_GB2312" w:eastAsia="仿宋_GB2312"/>
                <w:kern w:val="0"/>
                <w:sz w:val="24"/>
              </w:rPr>
              <w:t>2023年全国地方政府债券承销量（截止到12月12日）：            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377" w:type="dxa"/>
            <w:vMerge w:val="continue"/>
            <w:vAlign w:val="center"/>
          </w:tcPr>
          <w:p>
            <w:pPr>
              <w:widowControl/>
              <w:spacing w:line="400" w:lineRule="exact"/>
              <w:jc w:val="left"/>
              <w:rPr>
                <w:rFonts w:ascii="仿宋_GB2312" w:eastAsia="仿宋_GB2312"/>
                <w:kern w:val="0"/>
                <w:sz w:val="24"/>
              </w:rPr>
            </w:pPr>
          </w:p>
        </w:tc>
        <w:tc>
          <w:tcPr>
            <w:tcW w:w="8631" w:type="dxa"/>
            <w:gridSpan w:val="2"/>
          </w:tcPr>
          <w:p>
            <w:pPr>
              <w:widowControl/>
              <w:spacing w:line="400" w:lineRule="exact"/>
              <w:jc w:val="left"/>
              <w:rPr>
                <w:rFonts w:ascii="仿宋_GB2312" w:eastAsia="仿宋_GB2312"/>
                <w:kern w:val="0"/>
                <w:sz w:val="24"/>
              </w:rPr>
            </w:pPr>
            <w:r>
              <w:rPr>
                <w:rFonts w:hint="eastAsia" w:ascii="仿宋_GB2312" w:eastAsia="仿宋_GB2312"/>
                <w:kern w:val="0"/>
                <w:sz w:val="24"/>
              </w:rPr>
              <w:t>2023年山东省政府债券承销量：                                  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exact"/>
          <w:jc w:val="center"/>
        </w:trPr>
        <w:tc>
          <w:tcPr>
            <w:tcW w:w="1377" w:type="dxa"/>
            <w:vMerge w:val="continue"/>
            <w:vAlign w:val="center"/>
          </w:tcPr>
          <w:p>
            <w:pPr>
              <w:widowControl/>
              <w:spacing w:line="400" w:lineRule="exact"/>
              <w:jc w:val="left"/>
              <w:rPr>
                <w:rFonts w:ascii="仿宋_GB2312" w:eastAsia="仿宋_GB2312"/>
                <w:kern w:val="0"/>
                <w:sz w:val="24"/>
              </w:rPr>
            </w:pPr>
          </w:p>
        </w:tc>
        <w:tc>
          <w:tcPr>
            <w:tcW w:w="8631" w:type="dxa"/>
            <w:gridSpan w:val="2"/>
          </w:tcPr>
          <w:p>
            <w:pPr>
              <w:widowControl/>
              <w:spacing w:line="400" w:lineRule="exact"/>
              <w:jc w:val="left"/>
              <w:rPr>
                <w:rFonts w:ascii="仿宋_GB2312" w:eastAsia="仿宋_GB2312"/>
                <w:kern w:val="0"/>
                <w:sz w:val="24"/>
              </w:rPr>
            </w:pPr>
            <w:r>
              <w:rPr>
                <w:rFonts w:hint="eastAsia" w:ascii="仿宋_GB2312" w:eastAsia="仿宋_GB2312"/>
                <w:kern w:val="0"/>
                <w:sz w:val="24"/>
              </w:rPr>
              <w:t>2023年是    个省市地方政府债券承销团成员，其中担任  个省市地方政府债券主承销商（含副主承）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377" w:type="dxa"/>
            <w:vMerge w:val="continue"/>
            <w:vAlign w:val="center"/>
          </w:tcPr>
          <w:p>
            <w:pPr>
              <w:widowControl/>
              <w:spacing w:line="400" w:lineRule="exact"/>
              <w:jc w:val="left"/>
              <w:rPr>
                <w:rFonts w:ascii="仿宋_GB2312" w:eastAsia="仿宋_GB2312"/>
                <w:kern w:val="0"/>
                <w:sz w:val="24"/>
              </w:rPr>
            </w:pPr>
          </w:p>
        </w:tc>
        <w:tc>
          <w:tcPr>
            <w:tcW w:w="8631" w:type="dxa"/>
            <w:gridSpan w:val="2"/>
          </w:tcPr>
          <w:p>
            <w:pPr>
              <w:widowControl/>
              <w:spacing w:line="400" w:lineRule="exact"/>
              <w:jc w:val="left"/>
              <w:rPr>
                <w:rFonts w:ascii="仿宋_GB2312" w:eastAsia="仿宋_GB2312"/>
                <w:kern w:val="0"/>
                <w:sz w:val="24"/>
              </w:rPr>
            </w:pPr>
            <w:r>
              <w:rPr>
                <w:rFonts w:hint="eastAsia" w:ascii="仿宋_GB2312" w:eastAsia="仿宋_GB2312"/>
                <w:kern w:val="0"/>
                <w:sz w:val="24"/>
              </w:rPr>
              <w:t>银行间债券市场做市商：是（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377" w:type="dxa"/>
            <w:vMerge w:val="continue"/>
            <w:vAlign w:val="center"/>
          </w:tcPr>
          <w:p>
            <w:pPr>
              <w:widowControl/>
              <w:spacing w:line="400" w:lineRule="exact"/>
              <w:jc w:val="left"/>
              <w:rPr>
                <w:rFonts w:ascii="仿宋_GB2312" w:eastAsia="仿宋_GB2312"/>
                <w:kern w:val="0"/>
                <w:sz w:val="24"/>
              </w:rPr>
            </w:pPr>
          </w:p>
        </w:tc>
        <w:tc>
          <w:tcPr>
            <w:tcW w:w="8631" w:type="dxa"/>
            <w:gridSpan w:val="2"/>
          </w:tcPr>
          <w:p>
            <w:pPr>
              <w:widowControl/>
              <w:spacing w:line="400" w:lineRule="exact"/>
              <w:jc w:val="left"/>
              <w:rPr>
                <w:rFonts w:ascii="仿宋_GB2312" w:eastAsia="仿宋_GB2312"/>
                <w:kern w:val="0"/>
                <w:sz w:val="24"/>
              </w:rPr>
            </w:pPr>
            <w:r>
              <w:rPr>
                <w:rFonts w:hint="eastAsia" w:ascii="仿宋_GB2312" w:eastAsia="仿宋_GB2312"/>
                <w:kern w:val="0"/>
                <w:sz w:val="24"/>
              </w:rPr>
              <w:t>公开市场一级交易商：  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377" w:type="dxa"/>
            <w:vMerge w:val="continue"/>
            <w:vAlign w:val="center"/>
          </w:tcPr>
          <w:p>
            <w:pPr>
              <w:widowControl/>
              <w:spacing w:line="400" w:lineRule="exact"/>
              <w:jc w:val="left"/>
              <w:rPr>
                <w:rFonts w:ascii="仿宋_GB2312" w:eastAsia="仿宋_GB2312"/>
                <w:kern w:val="0"/>
                <w:sz w:val="24"/>
              </w:rPr>
            </w:pPr>
          </w:p>
        </w:tc>
        <w:tc>
          <w:tcPr>
            <w:tcW w:w="8631" w:type="dxa"/>
            <w:gridSpan w:val="2"/>
            <w:tcBorders>
              <w:bottom w:val="single" w:color="000000" w:sz="4" w:space="0"/>
            </w:tcBorders>
          </w:tcPr>
          <w:p>
            <w:pPr>
              <w:widowControl/>
              <w:spacing w:line="400" w:lineRule="exact"/>
              <w:jc w:val="left"/>
              <w:rPr>
                <w:rFonts w:ascii="仿宋_GB2312" w:eastAsia="仿宋_GB2312"/>
                <w:kern w:val="0"/>
                <w:sz w:val="24"/>
              </w:rPr>
            </w:pPr>
            <w:r>
              <w:rPr>
                <w:rFonts w:hint="eastAsia" w:ascii="仿宋_GB2312" w:eastAsia="仿宋_GB2312"/>
                <w:kern w:val="0"/>
                <w:sz w:val="24"/>
              </w:rPr>
              <w:t>交易所债券市场做市商：是（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377" w:type="dxa"/>
            <w:vMerge w:val="restart"/>
            <w:vAlign w:val="center"/>
          </w:tcPr>
          <w:p>
            <w:pPr>
              <w:widowControl/>
              <w:spacing w:line="400" w:lineRule="exact"/>
              <w:jc w:val="center"/>
              <w:rPr>
                <w:rFonts w:ascii="仿宋_GB2312" w:eastAsia="仿宋_GB2312"/>
                <w:kern w:val="0"/>
                <w:sz w:val="24"/>
              </w:rPr>
            </w:pPr>
            <w:r>
              <w:rPr>
                <w:rFonts w:hint="eastAsia" w:ascii="仿宋_GB2312" w:eastAsia="仿宋_GB2312"/>
                <w:kern w:val="0"/>
                <w:sz w:val="24"/>
              </w:rPr>
              <w:t>资本经营及风险防控状况</w:t>
            </w:r>
          </w:p>
        </w:tc>
        <w:tc>
          <w:tcPr>
            <w:tcW w:w="8631" w:type="dxa"/>
            <w:gridSpan w:val="2"/>
          </w:tcPr>
          <w:p>
            <w:pPr>
              <w:widowControl/>
              <w:spacing w:line="400" w:lineRule="exact"/>
              <w:rPr>
                <w:rFonts w:ascii="仿宋_GB2312" w:eastAsia="仿宋_GB2312"/>
                <w:kern w:val="0"/>
                <w:sz w:val="24"/>
              </w:rPr>
            </w:pPr>
            <w:r>
              <w:rPr>
                <w:rFonts w:hint="eastAsia" w:ascii="仿宋_GB2312" w:eastAsia="仿宋_GB2312"/>
                <w:kern w:val="0"/>
                <w:sz w:val="24"/>
              </w:rPr>
              <w:t xml:space="preserve">2022年末净资产：        亿元          2022年利润总额：        亿元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377" w:type="dxa"/>
            <w:vMerge w:val="continue"/>
            <w:vAlign w:val="center"/>
          </w:tcPr>
          <w:p>
            <w:pPr>
              <w:widowControl/>
              <w:spacing w:line="400" w:lineRule="exact"/>
              <w:jc w:val="center"/>
              <w:rPr>
                <w:rFonts w:ascii="仿宋_GB2312" w:eastAsia="仿宋_GB2312"/>
                <w:kern w:val="0"/>
                <w:sz w:val="24"/>
              </w:rPr>
            </w:pPr>
          </w:p>
        </w:tc>
        <w:tc>
          <w:tcPr>
            <w:tcW w:w="4469" w:type="dxa"/>
          </w:tcPr>
          <w:p>
            <w:pPr>
              <w:widowControl/>
              <w:spacing w:line="400" w:lineRule="exact"/>
              <w:rPr>
                <w:rFonts w:ascii="仿宋_GB2312" w:eastAsia="仿宋_GB2312"/>
                <w:kern w:val="0"/>
                <w:sz w:val="24"/>
              </w:rPr>
            </w:pPr>
            <w:r>
              <w:rPr>
                <w:rFonts w:hint="eastAsia" w:ascii="仿宋_GB2312" w:eastAsia="仿宋_GB2312"/>
                <w:kern w:val="0"/>
                <w:sz w:val="24"/>
              </w:rPr>
              <w:t>报名机构为银行填写（%）</w:t>
            </w:r>
          </w:p>
          <w:p>
            <w:pPr>
              <w:widowControl/>
              <w:spacing w:line="400" w:lineRule="exact"/>
              <w:rPr>
                <w:rFonts w:ascii="仿宋_GB2312" w:eastAsia="仿宋_GB2312"/>
                <w:kern w:val="0"/>
                <w:sz w:val="24"/>
              </w:rPr>
            </w:pPr>
          </w:p>
        </w:tc>
        <w:tc>
          <w:tcPr>
            <w:tcW w:w="4162" w:type="dxa"/>
          </w:tcPr>
          <w:p>
            <w:pPr>
              <w:widowControl/>
              <w:spacing w:line="400" w:lineRule="exact"/>
              <w:rPr>
                <w:rFonts w:ascii="仿宋_GB2312" w:eastAsia="仿宋_GB2312"/>
                <w:kern w:val="0"/>
                <w:sz w:val="24"/>
              </w:rPr>
            </w:pPr>
            <w:r>
              <w:rPr>
                <w:rFonts w:hint="eastAsia" w:ascii="仿宋_GB2312" w:eastAsia="仿宋_GB2312"/>
                <w:kern w:val="0"/>
                <w:sz w:val="24"/>
              </w:rPr>
              <w:t>报名机构为证券公司填写（%）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377" w:type="dxa"/>
            <w:vMerge w:val="continue"/>
            <w:vAlign w:val="center"/>
          </w:tcPr>
          <w:p>
            <w:pPr>
              <w:widowControl/>
              <w:spacing w:line="400" w:lineRule="exact"/>
              <w:jc w:val="left"/>
              <w:rPr>
                <w:rFonts w:ascii="仿宋_GB2312" w:eastAsia="仿宋_GB2312"/>
                <w:kern w:val="0"/>
                <w:sz w:val="24"/>
              </w:rPr>
            </w:pPr>
          </w:p>
        </w:tc>
        <w:tc>
          <w:tcPr>
            <w:tcW w:w="4469" w:type="dxa"/>
          </w:tcPr>
          <w:p>
            <w:pPr>
              <w:widowControl/>
              <w:spacing w:line="400" w:lineRule="exact"/>
              <w:rPr>
                <w:rFonts w:ascii="仿宋_GB2312" w:eastAsia="仿宋_GB2312"/>
                <w:kern w:val="0"/>
                <w:sz w:val="24"/>
              </w:rPr>
            </w:pPr>
            <w:r>
              <w:rPr>
                <w:rFonts w:hint="eastAsia" w:ascii="仿宋_GB2312" w:eastAsia="仿宋_GB2312"/>
                <w:kern w:val="0"/>
                <w:sz w:val="24"/>
              </w:rPr>
              <w:t>2022年资本充足率：</w:t>
            </w:r>
          </w:p>
        </w:tc>
        <w:tc>
          <w:tcPr>
            <w:tcW w:w="4162" w:type="dxa"/>
          </w:tcPr>
          <w:p>
            <w:pPr>
              <w:widowControl/>
              <w:spacing w:line="400" w:lineRule="exact"/>
              <w:rPr>
                <w:rFonts w:ascii="仿宋_GB2312" w:eastAsia="仿宋_GB2312"/>
                <w:kern w:val="0"/>
                <w:sz w:val="24"/>
              </w:rPr>
            </w:pPr>
            <w:r>
              <w:rPr>
                <w:rFonts w:hint="eastAsia" w:ascii="仿宋_GB2312" w:eastAsia="仿宋_GB2312"/>
                <w:kern w:val="0"/>
                <w:sz w:val="24"/>
              </w:rPr>
              <w:t>2022年资本杠杆率：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377" w:type="dxa"/>
            <w:vMerge w:val="continue"/>
            <w:vAlign w:val="center"/>
          </w:tcPr>
          <w:p>
            <w:pPr>
              <w:widowControl/>
              <w:spacing w:line="400" w:lineRule="exact"/>
              <w:jc w:val="left"/>
              <w:rPr>
                <w:rFonts w:ascii="仿宋_GB2312" w:eastAsia="仿宋_GB2312"/>
                <w:kern w:val="0"/>
                <w:sz w:val="24"/>
              </w:rPr>
            </w:pPr>
          </w:p>
        </w:tc>
        <w:tc>
          <w:tcPr>
            <w:tcW w:w="4469" w:type="dxa"/>
          </w:tcPr>
          <w:p>
            <w:pPr>
              <w:widowControl/>
              <w:spacing w:line="400" w:lineRule="exact"/>
              <w:rPr>
                <w:rFonts w:ascii="仿宋_GB2312" w:eastAsia="仿宋_GB2312"/>
                <w:kern w:val="0"/>
                <w:sz w:val="24"/>
              </w:rPr>
            </w:pPr>
            <w:r>
              <w:rPr>
                <w:rFonts w:hint="eastAsia" w:ascii="仿宋_GB2312" w:eastAsia="仿宋_GB2312"/>
                <w:kern w:val="0"/>
                <w:sz w:val="24"/>
              </w:rPr>
              <w:t>2022年不良贷款率：</w:t>
            </w:r>
          </w:p>
        </w:tc>
        <w:tc>
          <w:tcPr>
            <w:tcW w:w="4162" w:type="dxa"/>
          </w:tcPr>
          <w:p>
            <w:pPr>
              <w:widowControl/>
              <w:spacing w:line="400" w:lineRule="exact"/>
              <w:rPr>
                <w:rFonts w:ascii="仿宋_GB2312" w:eastAsia="仿宋_GB2312"/>
                <w:kern w:val="0"/>
                <w:sz w:val="24"/>
              </w:rPr>
            </w:pPr>
            <w:r>
              <w:rPr>
                <w:rFonts w:hint="eastAsia" w:ascii="仿宋_GB2312" w:eastAsia="仿宋_GB2312"/>
                <w:kern w:val="0"/>
                <w:sz w:val="24"/>
              </w:rPr>
              <w:t>2022年风险覆盖率：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377" w:type="dxa"/>
            <w:vMerge w:val="continue"/>
            <w:vAlign w:val="center"/>
          </w:tcPr>
          <w:p>
            <w:pPr>
              <w:widowControl/>
              <w:spacing w:line="400" w:lineRule="exact"/>
              <w:jc w:val="left"/>
              <w:rPr>
                <w:rFonts w:ascii="仿宋_GB2312" w:eastAsia="仿宋_GB2312"/>
                <w:kern w:val="0"/>
                <w:sz w:val="24"/>
              </w:rPr>
            </w:pPr>
          </w:p>
        </w:tc>
        <w:tc>
          <w:tcPr>
            <w:tcW w:w="4469" w:type="dxa"/>
          </w:tcPr>
          <w:p>
            <w:pPr>
              <w:widowControl/>
              <w:spacing w:line="400" w:lineRule="exact"/>
              <w:rPr>
                <w:rFonts w:ascii="仿宋_GB2312" w:eastAsia="仿宋_GB2312"/>
                <w:kern w:val="0"/>
                <w:sz w:val="24"/>
              </w:rPr>
            </w:pPr>
            <w:r>
              <w:rPr>
                <w:rFonts w:hint="eastAsia" w:ascii="仿宋_GB2312" w:eastAsia="仿宋_GB2312"/>
                <w:kern w:val="0"/>
                <w:sz w:val="24"/>
              </w:rPr>
              <w:t>2022年拨备覆盖率：</w:t>
            </w:r>
          </w:p>
        </w:tc>
        <w:tc>
          <w:tcPr>
            <w:tcW w:w="4162" w:type="dxa"/>
          </w:tcPr>
          <w:p>
            <w:pPr>
              <w:widowControl/>
              <w:spacing w:line="400" w:lineRule="exact"/>
              <w:jc w:val="center"/>
              <w:rPr>
                <w:rFonts w:ascii="仿宋_GB2312"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377" w:type="dxa"/>
            <w:vMerge w:val="restart"/>
            <w:vAlign w:val="center"/>
          </w:tcPr>
          <w:p>
            <w:pPr>
              <w:widowControl/>
              <w:spacing w:line="400" w:lineRule="exact"/>
              <w:jc w:val="center"/>
              <w:rPr>
                <w:rFonts w:ascii="仿宋_GB2312" w:eastAsia="仿宋_GB2312"/>
                <w:kern w:val="0"/>
                <w:sz w:val="24"/>
              </w:rPr>
            </w:pPr>
            <w:r>
              <w:rPr>
                <w:rFonts w:hint="eastAsia" w:ascii="仿宋_GB2312" w:eastAsia="仿宋_GB2312"/>
                <w:kern w:val="0"/>
                <w:sz w:val="24"/>
              </w:rPr>
              <w:t>联系方式</w:t>
            </w:r>
          </w:p>
        </w:tc>
        <w:tc>
          <w:tcPr>
            <w:tcW w:w="8631" w:type="dxa"/>
            <w:gridSpan w:val="2"/>
            <w:vAlign w:val="center"/>
          </w:tcPr>
          <w:p>
            <w:pPr>
              <w:widowControl/>
              <w:spacing w:line="400" w:lineRule="exact"/>
              <w:rPr>
                <w:rFonts w:ascii="仿宋_GB2312" w:eastAsia="仿宋_GB2312"/>
                <w:kern w:val="0"/>
                <w:sz w:val="24"/>
              </w:rPr>
            </w:pPr>
            <w:r>
              <w:rPr>
                <w:rFonts w:hint="eastAsia" w:ascii="仿宋_GB2312" w:eastAsia="仿宋_GB2312"/>
                <w:kern w:val="0"/>
                <w:sz w:val="24"/>
              </w:rPr>
              <w:t>联系部门：                联系人姓名：              职务：</w:t>
            </w:r>
          </w:p>
          <w:p>
            <w:pPr>
              <w:widowControl/>
              <w:spacing w:line="400" w:lineRule="exact"/>
              <w:rPr>
                <w:rFonts w:ascii="仿宋_GB2312" w:eastAsia="仿宋_GB2312"/>
                <w:kern w:val="0"/>
                <w:sz w:val="24"/>
              </w:rPr>
            </w:pPr>
            <w:r>
              <w:rPr>
                <w:rFonts w:hint="eastAsia" w:ascii="仿宋_GB2312" w:eastAsia="仿宋_GB2312"/>
                <w:kern w:val="0"/>
                <w:sz w:val="24"/>
              </w:rPr>
              <w:t>联系部门：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377" w:type="dxa"/>
            <w:vMerge w:val="continue"/>
            <w:vAlign w:val="center"/>
          </w:tcPr>
          <w:p>
            <w:pPr>
              <w:widowControl/>
              <w:spacing w:line="400" w:lineRule="exact"/>
              <w:jc w:val="left"/>
              <w:rPr>
                <w:rFonts w:ascii="仿宋_GB2312" w:eastAsia="仿宋_GB2312"/>
                <w:kern w:val="0"/>
                <w:sz w:val="24"/>
              </w:rPr>
            </w:pPr>
          </w:p>
        </w:tc>
        <w:tc>
          <w:tcPr>
            <w:tcW w:w="8631" w:type="dxa"/>
            <w:gridSpan w:val="2"/>
          </w:tcPr>
          <w:p>
            <w:pPr>
              <w:widowControl/>
              <w:spacing w:line="400" w:lineRule="exact"/>
              <w:rPr>
                <w:rFonts w:ascii="仿宋_GB2312" w:eastAsia="仿宋_GB2312"/>
                <w:kern w:val="0"/>
                <w:sz w:val="24"/>
              </w:rPr>
            </w:pPr>
            <w:r>
              <w:rPr>
                <w:rFonts w:hint="eastAsia" w:ascii="仿宋_GB2312" w:eastAsia="仿宋_GB2312"/>
                <w:kern w:val="0"/>
                <w:sz w:val="24"/>
              </w:rPr>
              <w:t>联系人办公电话：           手机：                   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377" w:type="dxa"/>
            <w:vMerge w:val="continue"/>
            <w:vAlign w:val="center"/>
          </w:tcPr>
          <w:p>
            <w:pPr>
              <w:widowControl/>
              <w:spacing w:line="400" w:lineRule="exact"/>
              <w:jc w:val="left"/>
              <w:rPr>
                <w:rFonts w:ascii="仿宋_GB2312" w:eastAsia="仿宋_GB2312"/>
                <w:kern w:val="0"/>
                <w:sz w:val="24"/>
              </w:rPr>
            </w:pPr>
          </w:p>
        </w:tc>
        <w:tc>
          <w:tcPr>
            <w:tcW w:w="8631" w:type="dxa"/>
            <w:gridSpan w:val="2"/>
          </w:tcPr>
          <w:p>
            <w:pPr>
              <w:widowControl/>
              <w:spacing w:line="400" w:lineRule="exact"/>
              <w:rPr>
                <w:rFonts w:ascii="仿宋_GB2312" w:eastAsia="仿宋_GB2312"/>
                <w:kern w:val="0"/>
                <w:sz w:val="24"/>
              </w:rPr>
            </w:pPr>
            <w:r>
              <w:rPr>
                <w:rFonts w:hint="eastAsia" w:ascii="仿宋_GB2312" w:eastAsia="仿宋_GB2312"/>
                <w:kern w:val="0"/>
                <w:sz w:val="24"/>
              </w:rPr>
              <w:t>通讯地址：                 邮箱：</w:t>
            </w:r>
          </w:p>
        </w:tc>
      </w:tr>
    </w:tbl>
    <w:p>
      <w:pPr>
        <w:widowControl/>
        <w:snapToGrid w:val="0"/>
        <w:spacing w:line="264" w:lineRule="auto"/>
        <w:rPr>
          <w:rFonts w:ascii="仿宋_GB2312" w:eastAsia="仿宋_GB2312"/>
          <w:kern w:val="0"/>
          <w:sz w:val="20"/>
          <w:szCs w:val="21"/>
        </w:rPr>
      </w:pPr>
      <w:r>
        <w:rPr>
          <w:rFonts w:hint="eastAsia" w:ascii="仿宋_GB2312" w:eastAsia="仿宋_GB2312"/>
          <w:kern w:val="0"/>
          <w:sz w:val="20"/>
          <w:szCs w:val="21"/>
        </w:rPr>
        <w:t>注：1.表中涉及金额以亿元为单位，保留2位小数。</w:t>
      </w:r>
    </w:p>
    <w:p>
      <w:pPr>
        <w:widowControl/>
        <w:snapToGrid w:val="0"/>
        <w:spacing w:line="264" w:lineRule="auto"/>
        <w:ind w:firstLine="400" w:firstLineChars="200"/>
        <w:rPr>
          <w:rFonts w:ascii="仿宋_GB2312" w:eastAsia="仿宋_GB2312"/>
          <w:kern w:val="0"/>
          <w:sz w:val="20"/>
          <w:szCs w:val="21"/>
        </w:rPr>
      </w:pPr>
      <w:r>
        <w:rPr>
          <w:rFonts w:hint="eastAsia" w:ascii="仿宋_GB2312" w:eastAsia="仿宋_GB2312"/>
          <w:kern w:val="0"/>
          <w:sz w:val="20"/>
          <w:szCs w:val="21"/>
        </w:rPr>
        <w:t>2.表中指标均为总机构数据，保留2位小数。</w:t>
      </w:r>
    </w:p>
    <w:p>
      <w:pPr>
        <w:widowControl/>
        <w:snapToGrid w:val="0"/>
        <w:spacing w:line="264" w:lineRule="auto"/>
        <w:ind w:firstLine="400" w:firstLineChars="200"/>
        <w:rPr>
          <w:rFonts w:ascii="仿宋_GB2312" w:eastAsia="仿宋_GB2312"/>
          <w:kern w:val="0"/>
          <w:sz w:val="20"/>
          <w:szCs w:val="21"/>
        </w:rPr>
      </w:pPr>
      <w:r>
        <w:rPr>
          <w:rFonts w:hint="eastAsia" w:ascii="仿宋_GB2312" w:eastAsia="仿宋_GB2312"/>
          <w:kern w:val="0"/>
          <w:sz w:val="20"/>
          <w:szCs w:val="21"/>
        </w:rPr>
        <w:t>3.对于选择项目,请在符合情况的选项后填√。</w:t>
      </w:r>
    </w:p>
    <w:p>
      <w:pPr>
        <w:ind w:firstLine="400" w:firstLineChars="200"/>
        <w:rPr>
          <w:rFonts w:ascii="仿宋_GB2312" w:eastAsia="仿宋_GB2312"/>
          <w:kern w:val="0"/>
          <w:sz w:val="20"/>
          <w:szCs w:val="21"/>
        </w:rPr>
      </w:pPr>
      <w:r>
        <w:rPr>
          <w:rFonts w:hint="eastAsia" w:ascii="仿宋_GB2312" w:eastAsia="仿宋_GB2312"/>
          <w:kern w:val="0"/>
          <w:sz w:val="20"/>
          <w:szCs w:val="21"/>
        </w:rPr>
        <w:t>4.金融机构对提供的全部数据和文字材料的真实性、完整性、合法性负责。</w:t>
      </w:r>
    </w:p>
    <w:p>
      <w:pPr>
        <w:ind w:firstLine="400" w:firstLineChars="200"/>
      </w:pPr>
      <w:r>
        <w:rPr>
          <w:rFonts w:hint="eastAsia" w:ascii="仿宋_GB2312" w:eastAsia="仿宋_GB2312"/>
          <w:kern w:val="0"/>
          <w:sz w:val="20"/>
          <w:szCs w:val="21"/>
        </w:rPr>
        <w:t>5.本表加盖机构总部（或被授权分支机构）公章有效。</w:t>
      </w:r>
    </w:p>
    <w:p>
      <w:pPr>
        <w:widowControl/>
        <w:snapToGrid w:val="0"/>
        <w:spacing w:line="264" w:lineRule="auto"/>
        <w:ind w:firstLine="400" w:firstLineChars="200"/>
        <w:rPr>
          <w:rFonts w:ascii="仿宋_GB2312" w:eastAsia="仿宋_GB2312"/>
          <w:kern w:val="0"/>
          <w:sz w:val="20"/>
          <w:szCs w:val="21"/>
        </w:rPr>
      </w:pPr>
    </w:p>
    <w:p>
      <w:pPr>
        <w:overflowPunct w:val="0"/>
        <w:snapToGrid w:val="0"/>
        <w:spacing w:line="58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p>
    <w:p>
      <w:pPr>
        <w:overflowPunct w:val="0"/>
        <w:snapToGrid w:val="0"/>
        <w:spacing w:line="580" w:lineRule="exact"/>
        <w:rPr>
          <w:rFonts w:ascii="仿宋_GB2312" w:eastAsia="仿宋_GB2312"/>
          <w:kern w:val="0"/>
          <w:szCs w:val="21"/>
        </w:rPr>
      </w:pPr>
    </w:p>
    <w:p>
      <w:pPr>
        <w:overflowPunct w:val="0"/>
        <w:spacing w:line="580" w:lineRule="exact"/>
        <w:jc w:val="center"/>
        <w:rPr>
          <w:rFonts w:ascii="方正小标宋简体" w:hAnsi="黑体" w:eastAsia="方正小标宋简体"/>
          <w:sz w:val="40"/>
          <w:szCs w:val="44"/>
        </w:rPr>
      </w:pPr>
      <w:r>
        <w:rPr>
          <w:rFonts w:ascii="方正小标宋简体" w:hAnsi="黑体" w:eastAsia="方正小标宋简体"/>
          <w:sz w:val="40"/>
          <w:szCs w:val="44"/>
        </w:rPr>
        <w:t>2024</w:t>
      </w:r>
      <w:r>
        <w:rPr>
          <w:rFonts w:hint="eastAsia" w:ascii="方正小标宋简体" w:hAnsi="宋体" w:eastAsia="方正小标宋简体" w:cs="宋体"/>
          <w:spacing w:val="-6"/>
          <w:kern w:val="0"/>
          <w:sz w:val="40"/>
          <w:szCs w:val="36"/>
        </w:rPr>
        <w:t>—</w:t>
      </w:r>
      <w:r>
        <w:rPr>
          <w:rFonts w:ascii="方正小标宋简体" w:hAnsi="黑体" w:eastAsia="方正小标宋简体"/>
          <w:sz w:val="40"/>
          <w:szCs w:val="44"/>
        </w:rPr>
        <w:t>2026</w:t>
      </w:r>
      <w:r>
        <w:rPr>
          <w:rFonts w:hint="eastAsia" w:ascii="方正小标宋简体" w:hAnsi="黑体" w:eastAsia="方正小标宋简体"/>
          <w:sz w:val="40"/>
          <w:szCs w:val="44"/>
        </w:rPr>
        <w:t>年山东省政府债券公开发行</w:t>
      </w:r>
    </w:p>
    <w:p>
      <w:pPr>
        <w:overflowPunct w:val="0"/>
        <w:spacing w:line="580" w:lineRule="exact"/>
        <w:jc w:val="center"/>
        <w:rPr>
          <w:rFonts w:ascii="方正小标宋简体" w:hAnsi="黑体" w:eastAsia="方正小标宋简体"/>
          <w:sz w:val="40"/>
          <w:szCs w:val="44"/>
        </w:rPr>
      </w:pPr>
      <w:r>
        <w:rPr>
          <w:rFonts w:hint="eastAsia" w:ascii="方正小标宋简体" w:hAnsi="黑体" w:eastAsia="方正小标宋简体"/>
          <w:sz w:val="40"/>
          <w:szCs w:val="44"/>
        </w:rPr>
        <w:t>承销协议（范本）</w:t>
      </w:r>
    </w:p>
    <w:p>
      <w:pPr>
        <w:overflowPunct w:val="0"/>
        <w:spacing w:line="580" w:lineRule="exact"/>
        <w:jc w:val="center"/>
        <w:rPr>
          <w:rFonts w:ascii="文星简黑体" w:hAnsi="黑体" w:eastAsia="文星简黑体"/>
          <w:sz w:val="44"/>
          <w:szCs w:val="44"/>
        </w:rPr>
      </w:pPr>
    </w:p>
    <w:p>
      <w:pPr>
        <w:overflowPunct w:val="0"/>
        <w:spacing w:line="580" w:lineRule="exact"/>
        <w:rPr>
          <w:rFonts w:ascii="仿宋_GB2312" w:hAnsi="仿宋" w:eastAsia="仿宋_GB2312"/>
          <w:sz w:val="32"/>
          <w:szCs w:val="32"/>
        </w:rPr>
      </w:pPr>
      <w:r>
        <w:rPr>
          <w:rFonts w:hint="eastAsia" w:ascii="仿宋_GB2312" w:hAnsi="仿宋" w:eastAsia="仿宋_GB2312"/>
          <w:b/>
          <w:sz w:val="32"/>
          <w:szCs w:val="32"/>
        </w:rPr>
        <w:t>甲方：</w:t>
      </w:r>
      <w:r>
        <w:rPr>
          <w:rFonts w:hint="eastAsia" w:ascii="仿宋_GB2312" w:hAnsi="仿宋" w:eastAsia="仿宋_GB2312"/>
          <w:sz w:val="32"/>
          <w:szCs w:val="32"/>
        </w:rPr>
        <w:t>山东省财政厅</w:t>
      </w:r>
    </w:p>
    <w:p>
      <w:pPr>
        <w:overflowPunct w:val="0"/>
        <w:spacing w:line="580" w:lineRule="exact"/>
        <w:rPr>
          <w:rFonts w:ascii="仿宋_GB2312" w:hAnsi="仿宋" w:eastAsia="仿宋_GB2312"/>
          <w:sz w:val="32"/>
          <w:szCs w:val="32"/>
        </w:rPr>
      </w:pPr>
    </w:p>
    <w:p>
      <w:pPr>
        <w:overflowPunct w:val="0"/>
        <w:spacing w:line="580" w:lineRule="exact"/>
        <w:rPr>
          <w:rFonts w:ascii="仿宋_GB2312" w:hAnsi="仿宋" w:eastAsia="仿宋_GB2312"/>
          <w:b/>
          <w:sz w:val="32"/>
          <w:szCs w:val="32"/>
        </w:rPr>
      </w:pPr>
      <w:r>
        <w:rPr>
          <w:rFonts w:hint="eastAsia" w:ascii="仿宋_GB2312" w:hAnsi="仿宋" w:eastAsia="仿宋_GB2312"/>
          <w:b/>
          <w:sz w:val="32"/>
          <w:szCs w:val="32"/>
        </w:rPr>
        <w:t>乙方：</w:t>
      </w:r>
    </w:p>
    <w:p>
      <w:pPr>
        <w:overflowPunct w:val="0"/>
        <w:spacing w:line="580" w:lineRule="exact"/>
        <w:ind w:firstLine="555"/>
        <w:rPr>
          <w:rFonts w:ascii="仿宋_GB2312" w:hAnsi="仿宋" w:eastAsia="仿宋_GB2312"/>
          <w:sz w:val="32"/>
          <w:szCs w:val="32"/>
        </w:rPr>
      </w:pP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为明确双方在2024—2026年山东省政府债券公开发行承销业务活动中的权利与义务，甲、乙双方达成本协议。</w:t>
      </w:r>
    </w:p>
    <w:p>
      <w:pPr>
        <w:overflowPunct w:val="0"/>
        <w:spacing w:line="580" w:lineRule="exact"/>
        <w:rPr>
          <w:rFonts w:ascii="黑体" w:hAnsi="黑体" w:eastAsia="黑体"/>
          <w:sz w:val="32"/>
          <w:szCs w:val="32"/>
        </w:rPr>
      </w:pPr>
    </w:p>
    <w:p>
      <w:pPr>
        <w:overflowPunct w:val="0"/>
        <w:spacing w:line="580" w:lineRule="exact"/>
        <w:jc w:val="center"/>
        <w:rPr>
          <w:rFonts w:ascii="黑体" w:hAnsi="黑体" w:eastAsia="黑体"/>
          <w:sz w:val="32"/>
          <w:szCs w:val="32"/>
        </w:rPr>
      </w:pPr>
      <w:r>
        <w:rPr>
          <w:rFonts w:hint="eastAsia" w:ascii="黑体" w:hAnsi="黑体" w:eastAsia="黑体"/>
          <w:sz w:val="32"/>
          <w:szCs w:val="32"/>
        </w:rPr>
        <w:t>第一章  总  则</w:t>
      </w:r>
    </w:p>
    <w:p>
      <w:pPr>
        <w:overflowPunct w:val="0"/>
        <w:spacing w:line="580" w:lineRule="exact"/>
        <w:jc w:val="center"/>
        <w:rPr>
          <w:rFonts w:ascii="仿宋_GB2312" w:hAnsi="黑体" w:eastAsia="仿宋_GB2312"/>
          <w:sz w:val="32"/>
          <w:szCs w:val="32"/>
        </w:rPr>
      </w:pPr>
    </w:p>
    <w:p>
      <w:pPr>
        <w:overflowPunct w:val="0"/>
        <w:spacing w:line="580" w:lineRule="exact"/>
        <w:ind w:firstLine="640" w:firstLineChars="200"/>
        <w:rPr>
          <w:rFonts w:ascii="仿宋_GB2312" w:hAnsi="仿宋" w:eastAsia="仿宋_GB2312"/>
          <w:sz w:val="32"/>
          <w:szCs w:val="32"/>
        </w:rPr>
      </w:pPr>
      <w:r>
        <w:rPr>
          <w:rFonts w:hint="eastAsia" w:ascii="楷体" w:hAnsi="楷体" w:eastAsia="楷体"/>
          <w:sz w:val="32"/>
          <w:szCs w:val="32"/>
        </w:rPr>
        <w:t xml:space="preserve">第一条 </w:t>
      </w:r>
      <w:r>
        <w:rPr>
          <w:rFonts w:hint="eastAsia" w:ascii="仿宋_GB2312" w:hAnsi="仿宋" w:eastAsia="仿宋_GB2312"/>
          <w:sz w:val="32"/>
          <w:szCs w:val="32"/>
        </w:rPr>
        <w:t xml:space="preserve"> 根据《中华人民共和国民法典》《财政部关于印发〈地方政府债券发行管理办法〉的通知》（财库〔2020〕43号）及国家有关地方政府债券发行的其他规定，经甲乙双方平等协商，签订本协议。</w:t>
      </w:r>
    </w:p>
    <w:p>
      <w:pPr>
        <w:overflowPunct w:val="0"/>
        <w:spacing w:line="580" w:lineRule="exact"/>
        <w:ind w:firstLine="640" w:firstLineChars="200"/>
        <w:rPr>
          <w:rFonts w:ascii="仿宋_GB2312" w:hAnsi="宋体" w:eastAsia="仿宋_GB2312"/>
          <w:sz w:val="32"/>
          <w:szCs w:val="32"/>
        </w:rPr>
      </w:pPr>
      <w:r>
        <w:rPr>
          <w:rFonts w:hint="eastAsia" w:ascii="楷体" w:hAnsi="楷体" w:eastAsia="楷体"/>
          <w:sz w:val="32"/>
          <w:szCs w:val="32"/>
        </w:rPr>
        <w:t>第二条</w:t>
      </w:r>
      <w:r>
        <w:rPr>
          <w:rFonts w:hint="eastAsia" w:ascii="仿宋_GB2312" w:hAnsi="仿宋" w:eastAsia="仿宋_GB2312"/>
          <w:sz w:val="32"/>
          <w:szCs w:val="32"/>
        </w:rPr>
        <w:t xml:space="preserve">  甲方在中国境内公开发行，由乙方参与承销的2024—2026年山东省政府一般债券和专项债券（以下简称山东省政府债券），其承销活动适用本协议。</w:t>
      </w:r>
    </w:p>
    <w:p>
      <w:pPr>
        <w:overflowPunct w:val="0"/>
        <w:spacing w:line="580" w:lineRule="exact"/>
        <w:ind w:firstLine="640" w:firstLineChars="200"/>
        <w:rPr>
          <w:rFonts w:ascii="仿宋_GB2312" w:hAnsi="仿宋" w:eastAsia="仿宋_GB2312"/>
          <w:sz w:val="32"/>
          <w:szCs w:val="32"/>
        </w:rPr>
      </w:pPr>
      <w:r>
        <w:rPr>
          <w:rFonts w:hint="eastAsia" w:ascii="楷体" w:hAnsi="楷体" w:eastAsia="楷体"/>
          <w:sz w:val="32"/>
          <w:szCs w:val="32"/>
        </w:rPr>
        <w:t>第三条</w:t>
      </w:r>
      <w:r>
        <w:rPr>
          <w:rFonts w:hint="eastAsia" w:ascii="仿宋_GB2312" w:hAnsi="仿宋" w:eastAsia="仿宋_GB2312"/>
          <w:sz w:val="32"/>
          <w:szCs w:val="32"/>
        </w:rPr>
        <w:t xml:space="preserve">  乙方为甲方组建的2024—2026年山东省政府债券公开发行承销团中的</w:t>
      </w:r>
      <w:r>
        <w:rPr>
          <w:rFonts w:hint="eastAsia" w:ascii="仿宋_GB2312" w:hAnsi="仿宋" w:eastAsia="仿宋_GB2312"/>
          <w:sz w:val="32"/>
          <w:szCs w:val="32"/>
          <w:u w:val="single"/>
        </w:rPr>
        <w:t xml:space="preserve">       </w:t>
      </w:r>
      <w:r>
        <w:rPr>
          <w:rFonts w:hint="eastAsia" w:ascii="仿宋_GB2312" w:hAnsi="仿宋" w:eastAsia="仿宋_GB2312"/>
          <w:sz w:val="32"/>
          <w:szCs w:val="32"/>
        </w:rPr>
        <w:t>（主承销商或一般承销商）。</w:t>
      </w:r>
    </w:p>
    <w:p>
      <w:pPr>
        <w:overflowPunct w:val="0"/>
        <w:spacing w:line="580" w:lineRule="exact"/>
        <w:ind w:firstLine="555"/>
        <w:rPr>
          <w:rFonts w:ascii="仿宋_GB2312" w:hAnsi="仿宋" w:eastAsia="仿宋_GB2312"/>
          <w:sz w:val="32"/>
          <w:szCs w:val="32"/>
        </w:rPr>
      </w:pPr>
      <w:r>
        <w:rPr>
          <w:rFonts w:hint="eastAsia" w:ascii="仿宋_GB2312" w:hAnsi="仿宋" w:eastAsia="仿宋_GB2312"/>
          <w:sz w:val="32"/>
          <w:szCs w:val="32"/>
        </w:rPr>
        <w:t xml:space="preserve">            </w:t>
      </w:r>
    </w:p>
    <w:p>
      <w:pPr>
        <w:overflowPunct w:val="0"/>
        <w:spacing w:line="580" w:lineRule="exact"/>
        <w:jc w:val="center"/>
        <w:rPr>
          <w:rFonts w:ascii="黑体" w:hAnsi="黑体" w:eastAsia="黑体"/>
          <w:sz w:val="32"/>
          <w:szCs w:val="32"/>
        </w:rPr>
      </w:pPr>
      <w:r>
        <w:rPr>
          <w:rFonts w:hint="eastAsia" w:ascii="黑体" w:hAnsi="黑体" w:eastAsia="黑体"/>
          <w:sz w:val="32"/>
          <w:szCs w:val="32"/>
        </w:rPr>
        <w:t>第二章  双方的权利和义务</w:t>
      </w:r>
    </w:p>
    <w:p>
      <w:pPr>
        <w:overflowPunct w:val="0"/>
        <w:spacing w:line="580" w:lineRule="exact"/>
        <w:ind w:firstLine="713" w:firstLineChars="223"/>
        <w:rPr>
          <w:rFonts w:ascii="仿宋_GB2312" w:hAnsi="仿宋" w:eastAsia="仿宋_GB2312"/>
          <w:sz w:val="32"/>
          <w:szCs w:val="32"/>
        </w:rPr>
      </w:pPr>
      <w:r>
        <w:rPr>
          <w:rFonts w:hint="eastAsia" w:ascii="楷体" w:hAnsi="楷体" w:eastAsia="楷体"/>
          <w:sz w:val="32"/>
          <w:szCs w:val="32"/>
        </w:rPr>
        <w:t xml:space="preserve"> </w:t>
      </w:r>
    </w:p>
    <w:p>
      <w:pPr>
        <w:overflowPunct w:val="0"/>
        <w:spacing w:line="580" w:lineRule="exact"/>
        <w:ind w:firstLine="640" w:firstLineChars="200"/>
        <w:rPr>
          <w:rFonts w:ascii="楷体" w:hAnsi="楷体" w:eastAsia="楷体"/>
          <w:sz w:val="32"/>
          <w:szCs w:val="32"/>
        </w:rPr>
      </w:pPr>
      <w:r>
        <w:rPr>
          <w:rFonts w:hint="eastAsia" w:ascii="楷体" w:hAnsi="楷体" w:eastAsia="楷体"/>
          <w:sz w:val="32"/>
          <w:szCs w:val="32"/>
        </w:rPr>
        <w:t xml:space="preserve">第四条  </w:t>
      </w:r>
      <w:r>
        <w:rPr>
          <w:rFonts w:hint="eastAsia" w:ascii="仿宋_GB2312" w:hAnsi="楷体" w:eastAsia="仿宋_GB2312"/>
          <w:sz w:val="32"/>
          <w:szCs w:val="32"/>
        </w:rPr>
        <w:t>甲方权利</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1.确定山东省政府债券发行方式、招投标规则。</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2.确定每期山东省政府债券的发行时间、数量、期限、还本付息方式、发行手续费率以及发行款缴纳时间等要素，并组织招标发行。</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3.对乙方违反本协议规定的行为，必要时可予以公告。</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4.有权要求主承销商为山东省政府债券提供发行定价、登记托管、上市交易等咨询服务。</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5.组建、管理山东省政府债券公开发行承销团，动态调整承销团成员。</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6.承销团存续期间，双方平等协商后，可根据财政部等部门相关文件规定适时修订并组织所有承销团成员重新签订债券承销协议。</w:t>
      </w:r>
    </w:p>
    <w:p>
      <w:pPr>
        <w:overflowPunct w:val="0"/>
        <w:spacing w:line="580" w:lineRule="exact"/>
        <w:ind w:firstLine="640" w:firstLineChars="200"/>
        <w:rPr>
          <w:rFonts w:ascii="楷体" w:hAnsi="楷体" w:eastAsia="楷体"/>
          <w:sz w:val="32"/>
          <w:szCs w:val="32"/>
        </w:rPr>
      </w:pPr>
      <w:r>
        <w:rPr>
          <w:rFonts w:hint="eastAsia" w:ascii="楷体" w:hAnsi="楷体" w:eastAsia="楷体"/>
          <w:sz w:val="32"/>
          <w:szCs w:val="32"/>
        </w:rPr>
        <w:t xml:space="preserve">第五条  </w:t>
      </w:r>
      <w:r>
        <w:rPr>
          <w:rFonts w:hint="eastAsia" w:ascii="仿宋_GB2312" w:hAnsi="楷体" w:eastAsia="仿宋_GB2312"/>
          <w:sz w:val="32"/>
          <w:szCs w:val="32"/>
        </w:rPr>
        <w:t>甲方义务</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1.按照相关规定，通过中国债券信息网、山东省财政厅门户网站（以下统称指定网站）做好信息披露工作。</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2.在甲方指定账户足额收到乙方发行款后5个工作日内（含第5个工作日），按发行文件规定向乙方支付发行手续费。</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3.按照有关规定办理债券还本付息。</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4.对山东省政府债券发行及还本付息政策进行解释。</w:t>
      </w:r>
    </w:p>
    <w:p>
      <w:pPr>
        <w:overflowPunct w:val="0"/>
        <w:spacing w:line="580" w:lineRule="exact"/>
        <w:ind w:firstLine="640" w:firstLineChars="200"/>
        <w:rPr>
          <w:rFonts w:ascii="楷体" w:hAnsi="楷体" w:eastAsia="楷体"/>
          <w:sz w:val="32"/>
          <w:szCs w:val="32"/>
        </w:rPr>
      </w:pPr>
      <w:r>
        <w:rPr>
          <w:rFonts w:hint="eastAsia" w:ascii="楷体" w:hAnsi="楷体" w:eastAsia="楷体"/>
          <w:sz w:val="32"/>
          <w:szCs w:val="32"/>
        </w:rPr>
        <w:t xml:space="preserve">第六条  </w:t>
      </w:r>
      <w:r>
        <w:rPr>
          <w:rFonts w:hint="eastAsia" w:ascii="仿宋_GB2312" w:hAnsi="楷体" w:eastAsia="仿宋_GB2312"/>
          <w:sz w:val="32"/>
          <w:szCs w:val="32"/>
        </w:rPr>
        <w:t>乙方权利</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1.参与山东省政府债券投标，按中标额度承销山东省政府债券。</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2.按照发行文件规定收取山东省政府债券发行手续费。</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3.通过规定渠道及时获取山东省政府债券发行信息。</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4.在其他相关业务宣传及合作中，主承销商可使用“2024—2026年山东省政府债券公开发行主承销商”称谓，一般承销商可使用“2024—2026年山东省政府债券公开发行承销商”称谓。</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5.承销团存续期间，双方平等协商后，与甲方重新签订修订后的承销协议。</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6.申请退出或变更2024—2026年山东省政府债券公开发行承销团成员资格。</w:t>
      </w:r>
    </w:p>
    <w:p>
      <w:pPr>
        <w:overflowPunct w:val="0"/>
        <w:spacing w:line="580" w:lineRule="exact"/>
        <w:ind w:firstLine="640" w:firstLineChars="200"/>
        <w:rPr>
          <w:rFonts w:ascii="楷体" w:hAnsi="楷体" w:eastAsia="楷体"/>
          <w:sz w:val="32"/>
          <w:szCs w:val="32"/>
        </w:rPr>
      </w:pPr>
      <w:r>
        <w:rPr>
          <w:rFonts w:hint="eastAsia" w:ascii="楷体" w:hAnsi="楷体" w:eastAsia="楷体"/>
          <w:sz w:val="32"/>
          <w:szCs w:val="32"/>
        </w:rPr>
        <w:t xml:space="preserve">第七条  </w:t>
      </w:r>
      <w:r>
        <w:rPr>
          <w:rFonts w:hint="eastAsia" w:ascii="仿宋_GB2312" w:hAnsi="楷体" w:eastAsia="仿宋_GB2312"/>
          <w:sz w:val="32"/>
          <w:szCs w:val="32"/>
        </w:rPr>
        <w:t>乙方义务</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1.开通与山东省政府债券公开发行采用的招标发行系统相联的专用通讯线路，保障通讯线路畅通，完善与山东省政府债券采用的招标发行系统相关的软硬件设施。</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2.按照山东省政府债券招标发行规则参加招投标活动，在合理价格区间内进行理性投标，满足单期山东省政府债券最低、最高投标限额规定和最低承销额等规定。</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3.山东省政府债券承销团成员之间不得进行代投标，不得串通投标。</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4.按照每期山东省政府债券中标的承销额度及缴款时间向甲方指定账户缴纳发行款，并按要求填写支付报文附言。</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5.按照有关文件规定向甲方准确无误报备相关信息，报备信息如有变更，须及时重新报备。逾期报备所产生的后果由乙方自行承担。</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6.乙方必须确保其具有债券承销业务资格，且资本充足率、偿付能力或者净资本状况等指标达到监管标准，否则应当及时向甲方申请退出2024—2026年山东省政府债券公开发行承销团。</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7.申请退出或变更2024—2026年山东省政府债券承销团成员资格，但未获得甲方明确答复的，继续履行本协议。</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8.乙方必须确保在债券发行过程中，无违反公平竞争、进行利益输送、直接或间接谋取不正当利益及其他破坏市场秩序的行为。</w:t>
      </w:r>
    </w:p>
    <w:p>
      <w:pPr>
        <w:overflowPunct w:val="0"/>
        <w:spacing w:line="580" w:lineRule="exact"/>
        <w:ind w:firstLine="555"/>
        <w:rPr>
          <w:rFonts w:ascii="仿宋_GB2312" w:hAnsi="仿宋" w:eastAsia="仿宋_GB2312"/>
          <w:sz w:val="32"/>
          <w:szCs w:val="32"/>
        </w:rPr>
      </w:pPr>
      <w:r>
        <w:rPr>
          <w:rFonts w:hint="eastAsia" w:ascii="仿宋_GB2312" w:hAnsi="仿宋" w:eastAsia="仿宋_GB2312"/>
          <w:sz w:val="32"/>
          <w:szCs w:val="32"/>
        </w:rPr>
        <w:t xml:space="preserve">                </w:t>
      </w:r>
    </w:p>
    <w:p>
      <w:pPr>
        <w:overflowPunct w:val="0"/>
        <w:spacing w:line="580" w:lineRule="exact"/>
        <w:jc w:val="center"/>
        <w:rPr>
          <w:rFonts w:ascii="黑体" w:hAnsi="黑体" w:eastAsia="黑体"/>
          <w:sz w:val="32"/>
          <w:szCs w:val="32"/>
        </w:rPr>
      </w:pPr>
      <w:r>
        <w:rPr>
          <w:rFonts w:hint="eastAsia" w:ascii="黑体" w:hAnsi="黑体" w:eastAsia="黑体"/>
          <w:sz w:val="32"/>
          <w:szCs w:val="32"/>
        </w:rPr>
        <w:t>第三章  违约责任</w:t>
      </w:r>
    </w:p>
    <w:p>
      <w:pPr>
        <w:overflowPunct w:val="0"/>
        <w:spacing w:line="580" w:lineRule="exact"/>
        <w:ind w:firstLine="555"/>
        <w:rPr>
          <w:rFonts w:ascii="仿宋_GB2312" w:hAnsi="仿宋" w:eastAsia="仿宋_GB2312"/>
          <w:sz w:val="32"/>
          <w:szCs w:val="32"/>
        </w:rPr>
      </w:pPr>
    </w:p>
    <w:p>
      <w:pPr>
        <w:overflowPunct w:val="0"/>
        <w:spacing w:line="580" w:lineRule="exact"/>
        <w:ind w:firstLine="640" w:firstLineChars="200"/>
        <w:rPr>
          <w:rFonts w:ascii="仿宋_GB2312" w:hAnsi="仿宋" w:eastAsia="仿宋_GB2312"/>
          <w:sz w:val="32"/>
          <w:szCs w:val="32"/>
        </w:rPr>
      </w:pPr>
      <w:r>
        <w:rPr>
          <w:rFonts w:hint="eastAsia" w:ascii="楷体" w:hAnsi="楷体" w:eastAsia="楷体"/>
          <w:sz w:val="32"/>
          <w:szCs w:val="32"/>
        </w:rPr>
        <w:t xml:space="preserve">第八条 </w:t>
      </w:r>
      <w:r>
        <w:rPr>
          <w:rFonts w:hint="eastAsia" w:ascii="仿宋_GB2312" w:hAnsi="仿宋" w:eastAsia="仿宋_GB2312"/>
          <w:sz w:val="32"/>
          <w:szCs w:val="32"/>
        </w:rPr>
        <w:t xml:space="preserve"> 除发生不可抗拒因素外，违约责任按以下各项执行：</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1.甲方违反本协议第五条第2款规定滞付发行手续费的，按逾期支付额和逾期天数，以当期山东省政府债券票面利率的两倍折成日息向乙方支付违约金。</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乙方违反本协议第七条第4款规定滞缴发行款，应按逾期缴纳额，以当期山东省政府债券票面利率的两倍折成日利率，从应缴日起，至实际支付日止（不含实际支付日）计算，按照甲方收款要求向甲方支付违约金。如当期山东省政府债券规定有发行手续费，在甲方收到乙方应缴纳发行款及违约金之前，不向乙方支付发行手续费。</w:t>
      </w:r>
    </w:p>
    <w:p>
      <w:pPr>
        <w:overflowPunct w:val="0"/>
        <w:spacing w:line="580" w:lineRule="exact"/>
        <w:ind w:firstLine="640" w:firstLineChars="200"/>
        <w:rPr>
          <w:rFonts w:ascii="仿宋_GB2312" w:hAnsi="仿宋" w:eastAsia="仿宋_GB2312"/>
          <w:sz w:val="32"/>
          <w:szCs w:val="32"/>
        </w:rPr>
      </w:pPr>
      <w:r>
        <w:rPr>
          <w:rFonts w:hint="eastAsia" w:ascii="楷体" w:hAnsi="楷体" w:eastAsia="楷体"/>
          <w:sz w:val="32"/>
          <w:szCs w:val="32"/>
        </w:rPr>
        <w:t>第九条</w:t>
      </w:r>
      <w:r>
        <w:rPr>
          <w:rFonts w:hint="eastAsia" w:ascii="仿宋_GB2312" w:hAnsi="楷体" w:eastAsia="仿宋_GB2312"/>
          <w:sz w:val="32"/>
          <w:szCs w:val="32"/>
        </w:rPr>
        <w:t xml:space="preserve">  </w:t>
      </w:r>
      <w:r>
        <w:rPr>
          <w:rFonts w:hint="eastAsia" w:ascii="仿宋_GB2312" w:hAnsi="仿宋" w:eastAsia="仿宋_GB2312"/>
          <w:sz w:val="32"/>
          <w:szCs w:val="32"/>
        </w:rPr>
        <w:t>乙方可根据本协议的约定，自愿申请退出承销团。甲方自收到书面退出申请之日起30日内予以确认，并向社会公告。申请退出的承销团成员，在获得确认之前，应当继续履行本协议。自甲方确认之日起，终止本协议。退出承销团的机构，不得再申请加入本届承销团。</w:t>
      </w:r>
    </w:p>
    <w:p>
      <w:pPr>
        <w:overflowPunct w:val="0"/>
        <w:spacing w:line="580" w:lineRule="exact"/>
        <w:ind w:firstLine="640" w:firstLineChars="200"/>
        <w:rPr>
          <w:rFonts w:ascii="仿宋_GB2312" w:hAnsi="仿宋" w:eastAsia="仿宋_GB2312"/>
          <w:sz w:val="32"/>
          <w:szCs w:val="32"/>
        </w:rPr>
      </w:pPr>
      <w:r>
        <w:rPr>
          <w:rFonts w:hint="eastAsia" w:ascii="楷体" w:hAnsi="楷体" w:eastAsia="楷体"/>
          <w:sz w:val="32"/>
          <w:szCs w:val="32"/>
        </w:rPr>
        <w:t>第十条</w:t>
      </w:r>
      <w:r>
        <w:rPr>
          <w:rFonts w:hint="eastAsia" w:ascii="仿宋_GB2312" w:hAnsi="楷体" w:eastAsia="仿宋_GB2312"/>
          <w:sz w:val="32"/>
          <w:szCs w:val="32"/>
        </w:rPr>
        <w:t xml:space="preserve">  </w:t>
      </w:r>
      <w:r>
        <w:rPr>
          <w:rFonts w:hint="eastAsia" w:ascii="仿宋_GB2312" w:hAnsi="仿宋" w:eastAsia="仿宋_GB2312"/>
          <w:sz w:val="32"/>
          <w:szCs w:val="32"/>
        </w:rPr>
        <w:t>乙方有下列行为之一的，应当主动退出承销团，或由甲方通知乙方退出承销团，终止本协议，并向社会公告：</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1.以欺骗、利益输送等不正当手段加入承销团的。</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2.出现重大违法行为，或者财务状况恶化，难以继续履行承销团成员义务的。</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3.根据有关监管规定，不再具备继续承销政府债券资格的。</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4.年度考评得分排名末三位的。</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5.向山东省财政厅正式书面申请退出承销团的。</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6.严重违反本协议其他相关约定的。</w:t>
      </w:r>
    </w:p>
    <w:p>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7.其他依法依规应取消承销团成员资格的情形。</w:t>
      </w:r>
    </w:p>
    <w:p>
      <w:pPr>
        <w:overflowPunct w:val="0"/>
        <w:spacing w:line="580" w:lineRule="exact"/>
        <w:jc w:val="center"/>
        <w:rPr>
          <w:rFonts w:ascii="仿宋_GB2312" w:hAnsi="黑体" w:eastAsia="仿宋_GB2312"/>
          <w:sz w:val="32"/>
          <w:szCs w:val="32"/>
        </w:rPr>
      </w:pPr>
    </w:p>
    <w:p>
      <w:pPr>
        <w:overflowPunct w:val="0"/>
        <w:spacing w:line="580" w:lineRule="exact"/>
        <w:jc w:val="center"/>
        <w:rPr>
          <w:rFonts w:ascii="黑体" w:hAnsi="黑体" w:eastAsia="黑体"/>
          <w:sz w:val="32"/>
          <w:szCs w:val="32"/>
        </w:rPr>
      </w:pPr>
      <w:r>
        <w:rPr>
          <w:rFonts w:hint="eastAsia" w:ascii="黑体" w:hAnsi="黑体" w:eastAsia="黑体"/>
          <w:sz w:val="32"/>
          <w:szCs w:val="32"/>
        </w:rPr>
        <w:t>第四章  附  则</w:t>
      </w:r>
    </w:p>
    <w:p>
      <w:pPr>
        <w:overflowPunct w:val="0"/>
        <w:spacing w:line="580" w:lineRule="exact"/>
        <w:jc w:val="center"/>
        <w:rPr>
          <w:rFonts w:ascii="仿宋_GB2312" w:hAnsi="黑体" w:eastAsia="仿宋_GB2312"/>
          <w:sz w:val="32"/>
          <w:szCs w:val="32"/>
        </w:rPr>
      </w:pPr>
    </w:p>
    <w:p>
      <w:pPr>
        <w:overflowPunct w:val="0"/>
        <w:spacing w:line="580" w:lineRule="exact"/>
        <w:ind w:firstLine="640" w:firstLineChars="200"/>
        <w:rPr>
          <w:rFonts w:ascii="仿宋_GB2312" w:hAnsi="仿宋" w:eastAsia="仿宋_GB2312"/>
          <w:sz w:val="32"/>
          <w:szCs w:val="32"/>
        </w:rPr>
      </w:pPr>
      <w:r>
        <w:rPr>
          <w:rFonts w:hint="eastAsia" w:ascii="楷体" w:hAnsi="楷体" w:eastAsia="楷体"/>
          <w:sz w:val="32"/>
          <w:szCs w:val="32"/>
        </w:rPr>
        <w:t>第十一条</w:t>
      </w:r>
      <w:r>
        <w:rPr>
          <w:rFonts w:hint="eastAsia" w:ascii="仿宋_GB2312" w:hAnsi="仿宋" w:eastAsia="仿宋_GB2312"/>
          <w:sz w:val="32"/>
          <w:szCs w:val="32"/>
        </w:rPr>
        <w:t xml:space="preserve">  在本协议有效期内，如国家有关地方政府债券发行、登记托管及流通转让等政策发生调整，以调整后的国家有关政策为准。</w:t>
      </w:r>
    </w:p>
    <w:p>
      <w:pPr>
        <w:overflowPunct w:val="0"/>
        <w:spacing w:line="580" w:lineRule="exact"/>
        <w:ind w:firstLine="640" w:firstLineChars="200"/>
        <w:rPr>
          <w:rFonts w:ascii="仿宋_GB2312" w:hAnsi="仿宋" w:eastAsia="仿宋_GB2312"/>
          <w:sz w:val="32"/>
          <w:szCs w:val="32"/>
        </w:rPr>
      </w:pPr>
      <w:r>
        <w:rPr>
          <w:rFonts w:hint="eastAsia" w:ascii="楷体" w:hAnsi="楷体" w:eastAsia="楷体"/>
          <w:sz w:val="32"/>
          <w:szCs w:val="32"/>
        </w:rPr>
        <w:t xml:space="preserve">第十二条 </w:t>
      </w:r>
      <w:r>
        <w:rPr>
          <w:rFonts w:hint="eastAsia" w:ascii="仿宋_GB2312" w:hAnsi="楷体" w:eastAsia="仿宋_GB2312"/>
          <w:sz w:val="32"/>
          <w:szCs w:val="32"/>
        </w:rPr>
        <w:t xml:space="preserve"> </w:t>
      </w:r>
      <w:r>
        <w:rPr>
          <w:rFonts w:hint="eastAsia" w:ascii="仿宋_GB2312" w:hAnsi="仿宋" w:eastAsia="仿宋_GB2312"/>
          <w:sz w:val="32"/>
          <w:szCs w:val="32"/>
        </w:rPr>
        <w:t>承销商委托分支机构代理签署的授权书具有同等法律效力。</w:t>
      </w:r>
    </w:p>
    <w:p>
      <w:pPr>
        <w:overflowPunct w:val="0"/>
        <w:spacing w:line="580" w:lineRule="exact"/>
        <w:ind w:firstLine="640" w:firstLineChars="200"/>
        <w:rPr>
          <w:rFonts w:ascii="仿宋_GB2312" w:hAnsi="仿宋" w:eastAsia="仿宋_GB2312"/>
          <w:sz w:val="32"/>
          <w:szCs w:val="32"/>
        </w:rPr>
      </w:pPr>
      <w:r>
        <w:rPr>
          <w:rFonts w:hint="eastAsia" w:ascii="楷体" w:hAnsi="楷体" w:eastAsia="楷体"/>
          <w:sz w:val="32"/>
          <w:szCs w:val="32"/>
        </w:rPr>
        <w:t xml:space="preserve">第十三条 </w:t>
      </w:r>
      <w:r>
        <w:rPr>
          <w:rFonts w:hint="eastAsia" w:ascii="仿宋_GB2312" w:hAnsi="楷体" w:eastAsia="仿宋_GB2312"/>
          <w:sz w:val="32"/>
          <w:szCs w:val="32"/>
        </w:rPr>
        <w:t xml:space="preserve"> </w:t>
      </w:r>
      <w:r>
        <w:rPr>
          <w:rFonts w:hint="eastAsia" w:ascii="仿宋_GB2312" w:hAnsi="仿宋" w:eastAsia="仿宋_GB2312"/>
          <w:sz w:val="32"/>
          <w:szCs w:val="32"/>
        </w:rPr>
        <w:t>对本协议的修改和解释，由甲乙双方以补充协议形式作出。补充协议为本协议不可分割的部分，与本协议正文具有同等法律效力。如对本协议产生异议，由甲乙双方根据有关规定协商解决；协商不成的，任何一方可向甲方所在地人民法院提起诉讼。</w:t>
      </w:r>
    </w:p>
    <w:p>
      <w:pPr>
        <w:overflowPunct w:val="0"/>
        <w:spacing w:line="580" w:lineRule="exact"/>
        <w:ind w:firstLine="640" w:firstLineChars="200"/>
        <w:rPr>
          <w:rFonts w:ascii="仿宋_GB2312" w:hAnsi="仿宋" w:eastAsia="仿宋_GB2312"/>
          <w:sz w:val="32"/>
          <w:szCs w:val="32"/>
        </w:rPr>
      </w:pPr>
      <w:r>
        <w:rPr>
          <w:rFonts w:hint="eastAsia" w:ascii="楷体" w:hAnsi="楷体" w:eastAsia="楷体"/>
          <w:sz w:val="32"/>
          <w:szCs w:val="32"/>
        </w:rPr>
        <w:t>第十四条</w:t>
      </w:r>
      <w:r>
        <w:rPr>
          <w:rFonts w:hint="eastAsia" w:ascii="仿宋_GB2312" w:hAnsi="仿宋" w:eastAsia="仿宋_GB2312"/>
          <w:sz w:val="32"/>
          <w:szCs w:val="32"/>
        </w:rPr>
        <w:t xml:space="preserve">  本协议履行过程中产生的纠纷，由甲方所在地人民法院管辖。</w:t>
      </w:r>
    </w:p>
    <w:p>
      <w:pPr>
        <w:overflowPunct w:val="0"/>
        <w:spacing w:line="580" w:lineRule="exact"/>
        <w:ind w:firstLine="640" w:firstLineChars="200"/>
        <w:rPr>
          <w:rFonts w:ascii="仿宋_GB2312" w:hAnsi="仿宋" w:eastAsia="仿宋_GB2312"/>
          <w:sz w:val="32"/>
          <w:szCs w:val="32"/>
        </w:rPr>
      </w:pPr>
      <w:r>
        <w:rPr>
          <w:rFonts w:hint="eastAsia" w:ascii="楷体" w:hAnsi="楷体" w:eastAsia="楷体"/>
          <w:sz w:val="32"/>
          <w:szCs w:val="32"/>
        </w:rPr>
        <w:t>第十五条</w:t>
      </w:r>
      <w:r>
        <w:rPr>
          <w:rFonts w:hint="eastAsia" w:ascii="仿宋_GB2312" w:hAnsi="楷体" w:eastAsia="仿宋_GB2312"/>
          <w:sz w:val="32"/>
          <w:szCs w:val="32"/>
        </w:rPr>
        <w:t xml:space="preserve">  </w:t>
      </w:r>
      <w:r>
        <w:rPr>
          <w:rFonts w:hint="eastAsia" w:ascii="仿宋_GB2312" w:hAnsi="仿宋" w:eastAsia="仿宋_GB2312"/>
          <w:sz w:val="32"/>
          <w:szCs w:val="32"/>
        </w:rPr>
        <w:t>本协议有效期为甲乙双方签署之日起至2026年12月31日止。在此期间，乙方退出承销团的，本协议自甲方确认乙方退出承销团之日起终止。</w:t>
      </w:r>
    </w:p>
    <w:p>
      <w:pPr>
        <w:overflowPunct w:val="0"/>
        <w:spacing w:line="580" w:lineRule="exact"/>
        <w:ind w:firstLine="640" w:firstLineChars="200"/>
        <w:rPr>
          <w:rFonts w:ascii="仿宋_GB2312" w:hAnsi="仿宋" w:eastAsia="仿宋_GB2312"/>
          <w:sz w:val="32"/>
          <w:szCs w:val="32"/>
        </w:rPr>
      </w:pPr>
      <w:r>
        <w:rPr>
          <w:rFonts w:hint="eastAsia" w:ascii="楷体" w:hAnsi="楷体" w:eastAsia="楷体"/>
          <w:sz w:val="32"/>
          <w:szCs w:val="32"/>
        </w:rPr>
        <w:t>第十六条</w:t>
      </w:r>
      <w:r>
        <w:rPr>
          <w:rFonts w:hint="eastAsia" w:ascii="仿宋_GB2312" w:hAnsi="楷体" w:eastAsia="仿宋_GB2312"/>
          <w:sz w:val="32"/>
          <w:szCs w:val="32"/>
        </w:rPr>
        <w:t xml:space="preserve">  </w:t>
      </w:r>
      <w:r>
        <w:rPr>
          <w:rFonts w:hint="eastAsia" w:ascii="仿宋_GB2312" w:hAnsi="仿宋" w:eastAsia="仿宋_GB2312"/>
          <w:sz w:val="32"/>
          <w:szCs w:val="32"/>
        </w:rPr>
        <w:t>本协议一式两份，双方各执一份。经甲、乙双方法定代表人或被授权代表签章并加盖公章之日起生效。</w:t>
      </w:r>
    </w:p>
    <w:p>
      <w:pPr>
        <w:overflowPunct w:val="0"/>
        <w:spacing w:line="580" w:lineRule="exact"/>
        <w:rPr>
          <w:rFonts w:ascii="仿宋_GB2312" w:hAnsi="仿宋" w:eastAsia="仿宋_GB2312"/>
          <w:sz w:val="32"/>
          <w:szCs w:val="32"/>
        </w:rPr>
      </w:pPr>
    </w:p>
    <w:p>
      <w:pPr>
        <w:overflowPunct w:val="0"/>
        <w:spacing w:line="580" w:lineRule="exact"/>
        <w:rPr>
          <w:rFonts w:hint="eastAsia" w:ascii="仿宋_GB2312" w:hAnsi="仿宋" w:eastAsia="仿宋_GB2312"/>
          <w:sz w:val="32"/>
          <w:szCs w:val="32"/>
        </w:rPr>
      </w:pPr>
    </w:p>
    <w:p>
      <w:pPr>
        <w:overflowPunct w:val="0"/>
        <w:spacing w:line="580" w:lineRule="exact"/>
        <w:rPr>
          <w:rFonts w:ascii="仿宋_GB2312" w:hAnsi="仿宋" w:eastAsia="仿宋_GB2312"/>
          <w:sz w:val="32"/>
          <w:szCs w:val="32"/>
        </w:rPr>
      </w:pPr>
    </w:p>
    <w:p>
      <w:pPr>
        <w:overflowPunct w:val="0"/>
        <w:spacing w:line="580" w:lineRule="exact"/>
        <w:jc w:val="center"/>
        <w:rPr>
          <w:rFonts w:ascii="仿宋_GB2312" w:hAnsi="仿宋" w:eastAsia="仿宋_GB2312"/>
          <w:sz w:val="32"/>
          <w:szCs w:val="32"/>
        </w:rPr>
      </w:pPr>
      <w:r>
        <w:rPr>
          <w:rFonts w:hint="eastAsia" w:ascii="仿宋_GB2312" w:hAnsi="仿宋" w:eastAsia="仿宋_GB2312"/>
          <w:sz w:val="32"/>
          <w:szCs w:val="32"/>
        </w:rPr>
        <w:t>（2024—2026年山东省政府债券公开发行承销协议签署页）</w:t>
      </w:r>
    </w:p>
    <w:p>
      <w:pPr>
        <w:overflowPunct w:val="0"/>
        <w:spacing w:line="580" w:lineRule="exact"/>
        <w:jc w:val="center"/>
        <w:rPr>
          <w:rFonts w:ascii="仿宋_GB2312" w:hAnsi="仿宋" w:eastAsia="仿宋_GB2312"/>
          <w:sz w:val="32"/>
          <w:szCs w:val="32"/>
        </w:rPr>
      </w:pPr>
    </w:p>
    <w:p>
      <w:pPr>
        <w:overflowPunct w:val="0"/>
        <w:spacing w:line="580" w:lineRule="exact"/>
        <w:rPr>
          <w:rFonts w:ascii="仿宋_GB2312" w:hAnsi="仿宋" w:eastAsia="仿宋_GB2312"/>
          <w:sz w:val="32"/>
          <w:szCs w:val="32"/>
        </w:rPr>
      </w:pPr>
    </w:p>
    <w:p>
      <w:pPr>
        <w:overflowPunct w:val="0"/>
        <w:spacing w:line="580" w:lineRule="exact"/>
        <w:rPr>
          <w:rFonts w:ascii="仿宋_GB2312" w:hAnsi="仿宋" w:eastAsia="仿宋_GB2312"/>
          <w:sz w:val="32"/>
          <w:szCs w:val="32"/>
        </w:rPr>
      </w:pPr>
      <w:r>
        <w:rPr>
          <w:rFonts w:hint="eastAsia" w:ascii="仿宋_GB2312" w:hAnsi="仿宋" w:eastAsia="仿宋_GB2312"/>
          <w:sz w:val="32"/>
          <w:szCs w:val="32"/>
        </w:rPr>
        <w:t xml:space="preserve">甲方代表(签章)：      </w:t>
      </w:r>
    </w:p>
    <w:p>
      <w:pPr>
        <w:overflowPunct w:val="0"/>
        <w:spacing w:line="580" w:lineRule="exact"/>
        <w:ind w:firstLine="555"/>
        <w:rPr>
          <w:rFonts w:ascii="仿宋_GB2312" w:hAnsi="仿宋" w:eastAsia="仿宋_GB2312"/>
          <w:sz w:val="32"/>
          <w:szCs w:val="32"/>
        </w:rPr>
      </w:pPr>
      <w:r>
        <w:rPr>
          <w:rFonts w:hint="eastAsia" w:ascii="仿宋_GB2312" w:hAnsi="仿宋" w:eastAsia="仿宋_GB2312"/>
          <w:sz w:val="32"/>
          <w:szCs w:val="32"/>
        </w:rPr>
        <w:t xml:space="preserve">                   </w:t>
      </w:r>
    </w:p>
    <w:p>
      <w:pPr>
        <w:overflowPunct w:val="0"/>
        <w:spacing w:line="580" w:lineRule="exact"/>
        <w:rPr>
          <w:rFonts w:ascii="仿宋_GB2312" w:hAnsi="仿宋" w:eastAsia="仿宋_GB2312"/>
          <w:sz w:val="32"/>
          <w:szCs w:val="32"/>
        </w:rPr>
      </w:pPr>
    </w:p>
    <w:p>
      <w:pPr>
        <w:overflowPunct w:val="0"/>
        <w:spacing w:line="580" w:lineRule="exact"/>
        <w:rPr>
          <w:rFonts w:ascii="仿宋_GB2312" w:hAnsi="仿宋" w:eastAsia="仿宋_GB2312"/>
          <w:sz w:val="32"/>
          <w:szCs w:val="32"/>
        </w:rPr>
      </w:pPr>
      <w:r>
        <w:rPr>
          <w:rFonts w:hint="eastAsia" w:ascii="仿宋_GB2312" w:hAnsi="仿宋" w:eastAsia="仿宋_GB2312"/>
          <w:sz w:val="32"/>
          <w:szCs w:val="32"/>
        </w:rPr>
        <w:t>甲方（公章）：</w:t>
      </w:r>
    </w:p>
    <w:p>
      <w:pPr>
        <w:overflowPunct w:val="0"/>
        <w:spacing w:line="580" w:lineRule="exact"/>
        <w:rPr>
          <w:rFonts w:ascii="仿宋_GB2312" w:hAnsi="仿宋" w:eastAsia="仿宋_GB2312"/>
          <w:sz w:val="32"/>
          <w:szCs w:val="32"/>
        </w:rPr>
      </w:pPr>
    </w:p>
    <w:p>
      <w:pPr>
        <w:overflowPunct w:val="0"/>
        <w:spacing w:line="580" w:lineRule="exact"/>
        <w:rPr>
          <w:rFonts w:ascii="仿宋_GB2312" w:hAnsi="仿宋" w:eastAsia="仿宋_GB2312"/>
          <w:sz w:val="32"/>
          <w:szCs w:val="32"/>
        </w:rPr>
      </w:pPr>
    </w:p>
    <w:p>
      <w:pPr>
        <w:overflowPunct w:val="0"/>
        <w:spacing w:line="580" w:lineRule="exact"/>
        <w:rPr>
          <w:rFonts w:ascii="仿宋_GB2312" w:hAnsi="仿宋" w:eastAsia="仿宋_GB2312"/>
          <w:sz w:val="32"/>
          <w:szCs w:val="32"/>
        </w:rPr>
      </w:pPr>
    </w:p>
    <w:p>
      <w:pPr>
        <w:overflowPunct w:val="0"/>
        <w:spacing w:line="580" w:lineRule="exact"/>
        <w:rPr>
          <w:rFonts w:ascii="仿宋_GB2312" w:hAnsi="仿宋" w:eastAsia="仿宋_GB2312"/>
          <w:sz w:val="32"/>
          <w:szCs w:val="32"/>
        </w:rPr>
      </w:pPr>
      <w:r>
        <w:rPr>
          <w:rFonts w:hint="eastAsia" w:ascii="仿宋_GB2312" w:hAnsi="仿宋" w:eastAsia="仿宋_GB2312"/>
          <w:sz w:val="32"/>
          <w:szCs w:val="32"/>
        </w:rPr>
        <w:t>签署日期：      年   月   日</w:t>
      </w:r>
    </w:p>
    <w:p>
      <w:pPr>
        <w:overflowPunct w:val="0"/>
        <w:spacing w:line="580" w:lineRule="exact"/>
        <w:rPr>
          <w:rFonts w:ascii="仿宋_GB2312" w:hAnsi="仿宋" w:eastAsia="仿宋_GB2312"/>
          <w:sz w:val="32"/>
          <w:szCs w:val="32"/>
        </w:rPr>
      </w:pPr>
    </w:p>
    <w:p>
      <w:pPr>
        <w:overflowPunct w:val="0"/>
        <w:spacing w:line="580" w:lineRule="exact"/>
        <w:rPr>
          <w:rFonts w:ascii="仿宋_GB2312" w:hAnsi="仿宋" w:eastAsia="仿宋_GB2312"/>
          <w:sz w:val="32"/>
          <w:szCs w:val="32"/>
        </w:rPr>
      </w:pPr>
    </w:p>
    <w:p>
      <w:pPr>
        <w:overflowPunct w:val="0"/>
        <w:spacing w:line="580" w:lineRule="exact"/>
        <w:rPr>
          <w:rFonts w:ascii="仿宋_GB2312" w:hAnsi="仿宋" w:eastAsia="仿宋_GB2312"/>
          <w:sz w:val="32"/>
          <w:szCs w:val="32"/>
        </w:rPr>
      </w:pPr>
      <w:r>
        <w:rPr>
          <w:rFonts w:hint="eastAsia" w:ascii="仿宋_GB2312" w:hAnsi="仿宋" w:eastAsia="仿宋_GB2312"/>
          <w:sz w:val="32"/>
          <w:szCs w:val="32"/>
        </w:rPr>
        <w:t xml:space="preserve">乙方代表(签章)：                         </w:t>
      </w:r>
    </w:p>
    <w:p>
      <w:pPr>
        <w:overflowPunct w:val="0"/>
        <w:spacing w:line="580" w:lineRule="exact"/>
        <w:rPr>
          <w:rFonts w:ascii="仿宋_GB2312" w:hAnsi="仿宋" w:eastAsia="仿宋_GB2312"/>
          <w:sz w:val="32"/>
          <w:szCs w:val="32"/>
        </w:rPr>
      </w:pPr>
    </w:p>
    <w:p>
      <w:pPr>
        <w:overflowPunct w:val="0"/>
        <w:spacing w:line="580" w:lineRule="exact"/>
        <w:rPr>
          <w:rFonts w:ascii="仿宋_GB2312" w:hAnsi="仿宋" w:eastAsia="仿宋_GB2312"/>
          <w:sz w:val="32"/>
          <w:szCs w:val="32"/>
        </w:rPr>
      </w:pPr>
    </w:p>
    <w:p>
      <w:pPr>
        <w:overflowPunct w:val="0"/>
        <w:spacing w:line="580" w:lineRule="exact"/>
        <w:rPr>
          <w:rFonts w:ascii="仿宋_GB2312" w:hAnsi="仿宋" w:eastAsia="仿宋_GB2312"/>
          <w:sz w:val="32"/>
          <w:szCs w:val="32"/>
        </w:rPr>
      </w:pPr>
      <w:r>
        <w:rPr>
          <w:rFonts w:hint="eastAsia" w:ascii="仿宋_GB2312" w:hAnsi="仿宋" w:eastAsia="仿宋_GB2312"/>
          <w:sz w:val="32"/>
          <w:szCs w:val="32"/>
        </w:rPr>
        <w:t>乙方（公章）：</w:t>
      </w:r>
    </w:p>
    <w:p>
      <w:pPr>
        <w:overflowPunct w:val="0"/>
        <w:spacing w:line="580" w:lineRule="exact"/>
        <w:rPr>
          <w:rFonts w:ascii="仿宋_GB2312" w:hAnsi="仿宋" w:eastAsia="仿宋_GB2312"/>
          <w:sz w:val="32"/>
          <w:szCs w:val="32"/>
        </w:rPr>
      </w:pPr>
    </w:p>
    <w:p>
      <w:pPr>
        <w:overflowPunct w:val="0"/>
        <w:spacing w:line="580" w:lineRule="exact"/>
        <w:rPr>
          <w:rFonts w:ascii="仿宋_GB2312" w:hAnsi="仿宋" w:eastAsia="仿宋_GB2312"/>
          <w:sz w:val="32"/>
          <w:szCs w:val="32"/>
        </w:rPr>
      </w:pPr>
    </w:p>
    <w:p>
      <w:pPr>
        <w:overflowPunct w:val="0"/>
        <w:spacing w:line="580" w:lineRule="exact"/>
        <w:rPr>
          <w:rFonts w:ascii="仿宋_GB2312" w:hAnsi="仿宋" w:eastAsia="仿宋_GB2312"/>
          <w:sz w:val="32"/>
          <w:szCs w:val="32"/>
        </w:rPr>
      </w:pPr>
      <w:r>
        <w:rPr>
          <w:rFonts w:hint="eastAsia" w:ascii="仿宋_GB2312" w:hAnsi="仿宋" w:eastAsia="仿宋_GB2312"/>
          <w:sz w:val="32"/>
          <w:szCs w:val="32"/>
        </w:rPr>
        <w:t>签署日期：      年   月   日</w:t>
      </w:r>
    </w:p>
    <w:p>
      <w:pPr>
        <w:spacing w:line="580" w:lineRule="exact"/>
        <w:ind w:left="-1" w:leftChars="-95" w:hanging="198" w:hangingChars="62"/>
        <w:jc w:val="left"/>
        <w:rPr>
          <w:rFonts w:ascii="仿宋_GB2312" w:hAnsi="仿宋_GB2312" w:eastAsia="仿宋_GB2312" w:cs="仿宋_GB2312"/>
          <w:sz w:val="32"/>
          <w:szCs w:val="32"/>
        </w:rPr>
      </w:pPr>
      <w:r>
        <w:rPr>
          <w:rFonts w:hint="eastAsia" w:ascii="仿宋_GB2312" w:hAnsi="仿宋" w:eastAsia="仿宋_GB2312"/>
          <w:sz w:val="32"/>
          <w:szCs w:val="32"/>
        </w:rPr>
        <w:t xml:space="preserve"> </w:t>
      </w:r>
      <w:r>
        <w:rPr>
          <w:rFonts w:hint="eastAsia" w:ascii="仿宋_GB2312" w:hAnsi="仿宋_GB2312" w:eastAsia="仿宋_GB2312" w:cs="仿宋_GB2312"/>
          <w:sz w:val="32"/>
          <w:szCs w:val="32"/>
        </w:rPr>
        <w:t xml:space="preserve"> </w:t>
      </w:r>
    </w:p>
    <w:p>
      <w:pPr>
        <w:spacing w:line="580" w:lineRule="exact"/>
        <w:ind w:left="-1" w:leftChars="-95" w:hanging="198" w:hangingChars="62"/>
        <w:jc w:val="left"/>
        <w:rPr>
          <w:rFonts w:ascii="仿宋_GB2312" w:hAnsi="仿宋_GB2312" w:eastAsia="仿宋_GB2312" w:cs="仿宋_GB2312"/>
          <w:sz w:val="32"/>
          <w:szCs w:val="32"/>
        </w:rPr>
      </w:pPr>
    </w:p>
    <w:p>
      <w:pPr>
        <w:spacing w:line="580" w:lineRule="exact"/>
        <w:ind w:left="-1" w:leftChars="-95" w:hanging="198" w:hangingChars="62"/>
        <w:jc w:val="left"/>
        <w:rPr>
          <w:rFonts w:ascii="黑体" w:hAnsi="黑体" w:eastAsia="黑体" w:cs="黑体"/>
          <w:sz w:val="32"/>
          <w:szCs w:val="32"/>
        </w:rPr>
      </w:pPr>
    </w:p>
    <w:p>
      <w:pPr>
        <w:spacing w:line="580" w:lineRule="exact"/>
        <w:ind w:left="-1" w:leftChars="-95" w:hanging="198" w:hangingChars="62"/>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3</w:t>
      </w:r>
    </w:p>
    <w:p>
      <w:pPr>
        <w:spacing w:line="580" w:lineRule="exact"/>
        <w:rPr>
          <w:rFonts w:ascii="仿宋_GB2312" w:eastAsia="仿宋_GB2312"/>
          <w:sz w:val="32"/>
        </w:rPr>
      </w:pPr>
    </w:p>
    <w:tbl>
      <w:tblPr>
        <w:tblStyle w:val="6"/>
        <w:tblW w:w="9108" w:type="dxa"/>
        <w:jc w:val="center"/>
        <w:tblLayout w:type="autofit"/>
        <w:tblCellMar>
          <w:top w:w="0" w:type="dxa"/>
          <w:left w:w="108" w:type="dxa"/>
          <w:bottom w:w="0" w:type="dxa"/>
          <w:right w:w="108" w:type="dxa"/>
        </w:tblCellMar>
      </w:tblPr>
      <w:tblGrid>
        <w:gridCol w:w="1231"/>
        <w:gridCol w:w="2268"/>
        <w:gridCol w:w="5609"/>
      </w:tblGrid>
      <w:tr>
        <w:tblPrEx>
          <w:tblCellMar>
            <w:top w:w="0" w:type="dxa"/>
            <w:left w:w="108" w:type="dxa"/>
            <w:bottom w:w="0" w:type="dxa"/>
            <w:right w:w="108" w:type="dxa"/>
          </w:tblCellMar>
        </w:tblPrEx>
        <w:trPr>
          <w:trHeight w:val="780" w:hRule="atLeast"/>
          <w:jc w:val="center"/>
        </w:trPr>
        <w:tc>
          <w:tcPr>
            <w:tcW w:w="9108" w:type="dxa"/>
            <w:gridSpan w:val="3"/>
            <w:tcBorders>
              <w:top w:val="nil"/>
              <w:left w:val="nil"/>
              <w:bottom w:val="nil"/>
              <w:right w:val="nil"/>
            </w:tcBorders>
            <w:noWrap/>
            <w:vAlign w:val="center"/>
          </w:tcPr>
          <w:p>
            <w:pPr>
              <w:widowControl/>
              <w:jc w:val="center"/>
              <w:rPr>
                <w:rFonts w:ascii="方正小标宋简体" w:hAnsi="宋体" w:eastAsia="方正小标宋简体" w:cs="宋体"/>
                <w:color w:val="000000"/>
                <w:kern w:val="0"/>
                <w:sz w:val="40"/>
                <w:szCs w:val="44"/>
              </w:rPr>
            </w:pPr>
            <w:r>
              <w:rPr>
                <w:rFonts w:ascii="方正小标宋简体" w:hAnsi="宋体" w:eastAsia="方正小标宋简体" w:cs="宋体"/>
                <w:color w:val="000000"/>
                <w:kern w:val="0"/>
                <w:sz w:val="40"/>
                <w:szCs w:val="44"/>
              </w:rPr>
              <w:t>2024</w:t>
            </w:r>
            <w:r>
              <w:rPr>
                <w:rFonts w:hint="eastAsia" w:ascii="方正小标宋简体" w:hAnsi="宋体" w:eastAsia="方正小标宋简体" w:cs="宋体"/>
                <w:color w:val="000000"/>
                <w:kern w:val="0"/>
                <w:sz w:val="40"/>
                <w:szCs w:val="44"/>
              </w:rPr>
              <w:t>—</w:t>
            </w:r>
            <w:r>
              <w:rPr>
                <w:rFonts w:ascii="方正小标宋简体" w:hAnsi="宋体" w:eastAsia="方正小标宋简体" w:cs="宋体"/>
                <w:color w:val="000000"/>
                <w:kern w:val="0"/>
                <w:sz w:val="40"/>
                <w:szCs w:val="44"/>
              </w:rPr>
              <w:t>2026</w:t>
            </w:r>
            <w:r>
              <w:rPr>
                <w:rFonts w:hint="eastAsia" w:ascii="方正小标宋简体" w:hAnsi="宋体" w:eastAsia="方正小标宋简体" w:cs="宋体"/>
                <w:color w:val="000000"/>
                <w:kern w:val="0"/>
                <w:sz w:val="40"/>
                <w:szCs w:val="44"/>
              </w:rPr>
              <w:t>年山东省政府债券公开发行承销团</w:t>
            </w:r>
          </w:p>
          <w:p>
            <w:pPr>
              <w:widowControl/>
              <w:jc w:val="center"/>
              <w:rPr>
                <w:rFonts w:ascii="方正小标宋简体" w:hAnsi="宋体" w:eastAsia="方正小标宋简体" w:cs="宋体"/>
                <w:color w:val="000000"/>
                <w:kern w:val="0"/>
                <w:sz w:val="40"/>
                <w:szCs w:val="44"/>
              </w:rPr>
            </w:pPr>
            <w:r>
              <w:rPr>
                <w:rFonts w:hint="eastAsia" w:ascii="方正小标宋简体" w:hAnsi="宋体" w:eastAsia="方正小标宋简体" w:cs="宋体"/>
                <w:color w:val="000000"/>
                <w:kern w:val="0"/>
                <w:sz w:val="40"/>
                <w:szCs w:val="44"/>
              </w:rPr>
              <w:t>管理评分指标</w:t>
            </w:r>
          </w:p>
        </w:tc>
      </w:tr>
      <w:tr>
        <w:tblPrEx>
          <w:tblCellMar>
            <w:top w:w="0" w:type="dxa"/>
            <w:left w:w="108" w:type="dxa"/>
            <w:bottom w:w="0" w:type="dxa"/>
            <w:right w:w="108" w:type="dxa"/>
          </w:tblCellMar>
        </w:tblPrEx>
        <w:trPr>
          <w:trHeight w:val="525"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一级指标</w:t>
            </w:r>
          </w:p>
        </w:tc>
        <w:tc>
          <w:tcPr>
            <w:tcW w:w="2268"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二级指标</w:t>
            </w:r>
          </w:p>
        </w:tc>
        <w:tc>
          <w:tcPr>
            <w:tcW w:w="5609"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计分方法</w:t>
            </w:r>
          </w:p>
        </w:tc>
      </w:tr>
      <w:tr>
        <w:trPr>
          <w:trHeight w:val="1200" w:hRule="atLeast"/>
          <w:jc w:val="center"/>
        </w:trPr>
        <w:tc>
          <w:tcPr>
            <w:tcW w:w="1231"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承销情况（80分）</w:t>
            </w:r>
          </w:p>
        </w:tc>
        <w:tc>
          <w:tcPr>
            <w:tcW w:w="226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山东省政府债券</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承销量（60分）</w:t>
            </w:r>
          </w:p>
        </w:tc>
        <w:tc>
          <w:tcPr>
            <w:tcW w:w="5609"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60*（该承销团成员承销量/该年度同类型承销团成员承销量最大值）（按不同类型机构分别排名计分，得分四舍五入保留1位小数，下同）。</w:t>
            </w:r>
          </w:p>
        </w:tc>
      </w:tr>
      <w:tr>
        <w:tblPrEx>
          <w:tblCellMar>
            <w:top w:w="0" w:type="dxa"/>
            <w:left w:w="108" w:type="dxa"/>
            <w:bottom w:w="0" w:type="dxa"/>
            <w:right w:w="108" w:type="dxa"/>
          </w:tblCellMar>
        </w:tblPrEx>
        <w:trPr>
          <w:trHeight w:val="795" w:hRule="atLeast"/>
          <w:jc w:val="center"/>
        </w:trPr>
        <w:tc>
          <w:tcPr>
            <w:tcW w:w="123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26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山东省政府债券</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承销均衡度（10分）</w:t>
            </w:r>
          </w:p>
        </w:tc>
        <w:tc>
          <w:tcPr>
            <w:tcW w:w="5609"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10*（该承销团成员承销量满足最低承销要求期数/该年度山东省政府债券发行期数）。</w:t>
            </w:r>
          </w:p>
        </w:tc>
      </w:tr>
      <w:tr>
        <w:tblPrEx>
          <w:tblCellMar>
            <w:top w:w="0" w:type="dxa"/>
            <w:left w:w="108" w:type="dxa"/>
            <w:bottom w:w="0" w:type="dxa"/>
            <w:right w:w="108" w:type="dxa"/>
          </w:tblCellMar>
        </w:tblPrEx>
        <w:trPr>
          <w:trHeight w:val="799" w:hRule="atLeast"/>
          <w:jc w:val="center"/>
        </w:trPr>
        <w:tc>
          <w:tcPr>
            <w:tcW w:w="123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26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山东省政府债券</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承销期数（10分）</w:t>
            </w:r>
          </w:p>
        </w:tc>
        <w:tc>
          <w:tcPr>
            <w:tcW w:w="5609"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10*（该承销团成员承销期数/该年度同类型承销团成员承销期数最大值）。</w:t>
            </w:r>
          </w:p>
        </w:tc>
      </w:tr>
      <w:tr>
        <w:tblPrEx>
          <w:tblCellMar>
            <w:top w:w="0" w:type="dxa"/>
            <w:left w:w="108" w:type="dxa"/>
            <w:bottom w:w="0" w:type="dxa"/>
            <w:right w:w="108" w:type="dxa"/>
          </w:tblCellMar>
        </w:tblPrEx>
        <w:trPr>
          <w:trHeight w:val="799"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投标情况（8分）</w:t>
            </w:r>
          </w:p>
        </w:tc>
        <w:tc>
          <w:tcPr>
            <w:tcW w:w="226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山东省政府债券</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投标均衡度（8分）</w:t>
            </w:r>
          </w:p>
        </w:tc>
        <w:tc>
          <w:tcPr>
            <w:tcW w:w="5609"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8*（该承销团成员投标量满足最低投标要求期数/该年度山东省政府债券发行期数）。</w:t>
            </w:r>
          </w:p>
        </w:tc>
      </w:tr>
      <w:tr>
        <w:tblPrEx>
          <w:tblCellMar>
            <w:top w:w="0" w:type="dxa"/>
            <w:left w:w="108" w:type="dxa"/>
            <w:bottom w:w="0" w:type="dxa"/>
            <w:right w:w="108" w:type="dxa"/>
          </w:tblCellMar>
        </w:tblPrEx>
        <w:trPr>
          <w:trHeight w:val="799" w:hRule="atLeast"/>
          <w:jc w:val="center"/>
        </w:trPr>
        <w:tc>
          <w:tcPr>
            <w:tcW w:w="1231"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其他因素（12分）</w:t>
            </w:r>
          </w:p>
        </w:tc>
        <w:tc>
          <w:tcPr>
            <w:tcW w:w="226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重点工作（6分）</w:t>
            </w:r>
          </w:p>
        </w:tc>
        <w:tc>
          <w:tcPr>
            <w:tcW w:w="5609"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按发行文件要求及时缴纳发行款得满分，不能按时缴款的一次扣3分，扣至零分为止。</w:t>
            </w:r>
          </w:p>
        </w:tc>
      </w:tr>
      <w:tr>
        <w:tblPrEx>
          <w:tblCellMar>
            <w:top w:w="0" w:type="dxa"/>
            <w:left w:w="108" w:type="dxa"/>
            <w:bottom w:w="0" w:type="dxa"/>
            <w:right w:w="108" w:type="dxa"/>
          </w:tblCellMar>
        </w:tblPrEx>
        <w:trPr>
          <w:trHeight w:val="1200" w:hRule="atLeast"/>
          <w:jc w:val="center"/>
        </w:trPr>
        <w:tc>
          <w:tcPr>
            <w:tcW w:w="1231"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26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提供服务（6分）</w:t>
            </w:r>
          </w:p>
        </w:tc>
        <w:tc>
          <w:tcPr>
            <w:tcW w:w="5609"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根据承销团成员推动山东省政府债券一级二级市场发展、提供山东省债务管理咨询建议等服务情况评分，满分为6分。</w:t>
            </w:r>
          </w:p>
        </w:tc>
      </w:tr>
      <w:tr>
        <w:tblPrEx>
          <w:tblCellMar>
            <w:top w:w="0" w:type="dxa"/>
            <w:left w:w="108" w:type="dxa"/>
            <w:bottom w:w="0" w:type="dxa"/>
            <w:right w:w="108" w:type="dxa"/>
          </w:tblCellMar>
        </w:tblPrEx>
        <w:trPr>
          <w:trHeight w:val="1200"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加分项</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（2分）</w:t>
            </w:r>
          </w:p>
        </w:tc>
        <w:tc>
          <w:tcPr>
            <w:tcW w:w="226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山东省政府债券柜台发行参与度（2分）</w:t>
            </w:r>
          </w:p>
        </w:tc>
        <w:tc>
          <w:tcPr>
            <w:tcW w:w="5609"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根据承销团成员当年分销山东省政府柜台债的规模，从高到低排名，排名第1的得满分，其余按与第1名的占比计算得分。</w:t>
            </w:r>
          </w:p>
        </w:tc>
      </w:tr>
    </w:tbl>
    <w:p>
      <w:pPr>
        <w:spacing w:line="580" w:lineRule="exact"/>
        <w:rPr>
          <w:rFonts w:ascii="仿宋_GB2312" w:hAnsi="宋体" w:eastAsia="仿宋_GB2312"/>
          <w:sz w:val="32"/>
        </w:rPr>
      </w:pPr>
    </w:p>
    <w:p>
      <w:pPr>
        <w:spacing w:line="580" w:lineRule="exact"/>
        <w:jc w:val="center"/>
        <w:rPr>
          <w:rFonts w:ascii="仿宋_GB2312" w:eastAsia="仿宋_GB2312"/>
          <w:sz w:val="32"/>
        </w:rPr>
      </w:pPr>
    </w:p>
    <w:p>
      <w:pPr>
        <w:spacing w:line="600" w:lineRule="exact"/>
        <w:rPr>
          <w:rFonts w:ascii="仿宋_GB2312" w:eastAsia="仿宋_GB2312"/>
          <w:sz w:val="32"/>
        </w:rPr>
      </w:pPr>
    </w:p>
    <w:p>
      <w:pPr>
        <w:spacing w:line="600" w:lineRule="exact"/>
        <w:ind w:firstLine="274"/>
        <w:rPr>
          <w:sz w:val="28"/>
          <w:szCs w:val="28"/>
        </w:rPr>
      </w:pPr>
      <w:r>
        <w:rPr>
          <w:rFonts w:hint="eastAsia" w:ascii="仿宋_GB2312" w:eastAsia="仿宋_GB2312"/>
          <w:sz w:val="28"/>
          <w:szCs w:val="28"/>
        </w:rPr>
        <w:t xml:space="preserve"> </w:t>
      </w:r>
    </w:p>
    <w:sectPr>
      <w:footerReference r:id="rId3" w:type="default"/>
      <w:footerReference r:id="rId4" w:type="even"/>
      <w:pgSz w:w="11906" w:h="16838"/>
      <w:pgMar w:top="2098" w:right="1418" w:bottom="1871" w:left="1531" w:header="851" w:footer="136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文星简大标宋">
    <w:panose1 w:val="02010609000101010101"/>
    <w:charset w:val="86"/>
    <w:family w:val="modern"/>
    <w:pitch w:val="default"/>
    <w:sig w:usb0="00000000" w:usb1="00000000" w:usb2="00000000" w:usb3="00000000" w:csb0="00000000" w:csb1="00000000"/>
  </w:font>
  <w:font w:name="文星简仿宋">
    <w:panose1 w:val="02010609000101010101"/>
    <w:charset w:val="86"/>
    <w:family w:val="moder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星简黑体">
    <w:panose1 w:val="0201060900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宋体" w:hAnsi="宋体"/>
        <w:sz w:val="24"/>
        <w:szCs w:val="24"/>
      </w:rPr>
    </w:pPr>
    <w:r>
      <w:rPr>
        <w:rStyle w:val="8"/>
        <w:rFonts w:hint="eastAsia" w:ascii="宋体" w:hAnsi="宋体"/>
        <w:sz w:val="24"/>
        <w:szCs w:val="24"/>
      </w:rPr>
      <w:t xml:space="preserve">— </w:t>
    </w:r>
    <w:r>
      <w:rPr>
        <w:rFonts w:ascii="宋体" w:hAnsi="宋体"/>
        <w:sz w:val="24"/>
        <w:szCs w:val="24"/>
      </w:rPr>
      <w:fldChar w:fldCharType="begin"/>
    </w:r>
    <w:r>
      <w:rPr>
        <w:rStyle w:val="8"/>
        <w:rFonts w:ascii="宋体" w:hAnsi="宋体"/>
        <w:sz w:val="24"/>
        <w:szCs w:val="24"/>
      </w:rPr>
      <w:instrText xml:space="preserve">PAGE  </w:instrText>
    </w:r>
    <w:r>
      <w:rPr>
        <w:rFonts w:ascii="宋体" w:hAnsi="宋体"/>
        <w:sz w:val="24"/>
        <w:szCs w:val="24"/>
      </w:rPr>
      <w:fldChar w:fldCharType="separate"/>
    </w:r>
    <w:r>
      <w:rPr>
        <w:rStyle w:val="8"/>
        <w:rFonts w:ascii="宋体" w:hAnsi="宋体"/>
        <w:sz w:val="24"/>
        <w:szCs w:val="24"/>
      </w:rPr>
      <w:t>14</w:t>
    </w:r>
    <w:r>
      <w:rPr>
        <w:rFonts w:ascii="宋体" w:hAnsi="宋体"/>
        <w:sz w:val="24"/>
        <w:szCs w:val="24"/>
      </w:rPr>
      <w:fldChar w:fldCharType="end"/>
    </w:r>
    <w:r>
      <w:rPr>
        <w:rStyle w:val="8"/>
        <w:rFonts w:hint="eastAsia" w:ascii="宋体" w:hAnsi="宋体"/>
        <w:sz w:val="24"/>
        <w:szCs w:val="24"/>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F8025B"/>
    <w:multiLevelType w:val="singleLevel"/>
    <w:tmpl w:val="C7F8025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xNTg0ZGU2OTQ0ODhhYmQ2Mzc2NzMwNTczMjQ5YzkifQ=="/>
  </w:docVars>
  <w:rsids>
    <w:rsidRoot w:val="0030601E"/>
    <w:rsid w:val="00024F39"/>
    <w:rsid w:val="00074071"/>
    <w:rsid w:val="000C05C5"/>
    <w:rsid w:val="00105338"/>
    <w:rsid w:val="00162956"/>
    <w:rsid w:val="001676E5"/>
    <w:rsid w:val="002765B1"/>
    <w:rsid w:val="00286613"/>
    <w:rsid w:val="00293A0C"/>
    <w:rsid w:val="002F319A"/>
    <w:rsid w:val="0030601E"/>
    <w:rsid w:val="00310C20"/>
    <w:rsid w:val="00317B52"/>
    <w:rsid w:val="003750F5"/>
    <w:rsid w:val="003A3EAA"/>
    <w:rsid w:val="003D364C"/>
    <w:rsid w:val="003E754A"/>
    <w:rsid w:val="004008AA"/>
    <w:rsid w:val="004403DC"/>
    <w:rsid w:val="0044261C"/>
    <w:rsid w:val="004706F9"/>
    <w:rsid w:val="004C0A7F"/>
    <w:rsid w:val="00503043"/>
    <w:rsid w:val="0055608B"/>
    <w:rsid w:val="00636ABE"/>
    <w:rsid w:val="00652A7C"/>
    <w:rsid w:val="0065790A"/>
    <w:rsid w:val="0066700F"/>
    <w:rsid w:val="007029AE"/>
    <w:rsid w:val="00784013"/>
    <w:rsid w:val="007A2409"/>
    <w:rsid w:val="007D1AE2"/>
    <w:rsid w:val="007F4FA3"/>
    <w:rsid w:val="0088113A"/>
    <w:rsid w:val="008B276D"/>
    <w:rsid w:val="008F47DA"/>
    <w:rsid w:val="00945AE3"/>
    <w:rsid w:val="0095598D"/>
    <w:rsid w:val="009A1922"/>
    <w:rsid w:val="009B3566"/>
    <w:rsid w:val="00A10A8E"/>
    <w:rsid w:val="00A17E05"/>
    <w:rsid w:val="00A436BF"/>
    <w:rsid w:val="00A650E1"/>
    <w:rsid w:val="00A76C39"/>
    <w:rsid w:val="00AB3FC5"/>
    <w:rsid w:val="00B411F8"/>
    <w:rsid w:val="00B80CBC"/>
    <w:rsid w:val="00BA2F59"/>
    <w:rsid w:val="00BE1FE8"/>
    <w:rsid w:val="00C954D0"/>
    <w:rsid w:val="00CF26C0"/>
    <w:rsid w:val="00D141A1"/>
    <w:rsid w:val="00D5508A"/>
    <w:rsid w:val="00D87CD0"/>
    <w:rsid w:val="00D94451"/>
    <w:rsid w:val="00D95A7A"/>
    <w:rsid w:val="00DA2701"/>
    <w:rsid w:val="00E16704"/>
    <w:rsid w:val="00E952D8"/>
    <w:rsid w:val="00E97235"/>
    <w:rsid w:val="00EB7047"/>
    <w:rsid w:val="00F13B49"/>
    <w:rsid w:val="00F2447D"/>
    <w:rsid w:val="00F94A95"/>
    <w:rsid w:val="00FD449D"/>
    <w:rsid w:val="00FE1A26"/>
    <w:rsid w:val="11FA7C1A"/>
    <w:rsid w:val="210815D1"/>
    <w:rsid w:val="38EC51E5"/>
    <w:rsid w:val="3BF721DE"/>
    <w:rsid w:val="404903FC"/>
    <w:rsid w:val="462B1E0A"/>
    <w:rsid w:val="48211747"/>
    <w:rsid w:val="499A2390"/>
    <w:rsid w:val="4D862A9D"/>
    <w:rsid w:val="550979C1"/>
    <w:rsid w:val="555E2C08"/>
    <w:rsid w:val="5C2630E2"/>
    <w:rsid w:val="62836D7B"/>
    <w:rsid w:val="699A44C3"/>
    <w:rsid w:val="6C694F57"/>
    <w:rsid w:val="74F8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uiPriority w:val="0"/>
    <w:rPr>
      <w:rFonts w:ascii="宋体" w:hAnsi="Courier New" w:cs="文星简大标宋"/>
      <w:szCs w:val="21"/>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paragraph" w:customStyle="1" w:styleId="9">
    <w:name w:val="样式1"/>
    <w:basedOn w:val="1"/>
    <w:qFormat/>
    <w:uiPriority w:val="0"/>
    <w:pPr>
      <w:spacing w:line="600" w:lineRule="atLeast"/>
    </w:pPr>
    <w:rPr>
      <w:rFonts w:eastAsia="文星简仿宋"/>
      <w:sz w:val="32"/>
      <w:szCs w:val="20"/>
    </w:rPr>
  </w:style>
  <w:style w:type="character" w:customStyle="1" w:styleId="10">
    <w:name w:val="批注框文本 Char"/>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beelink</Company>
  <Pages>14</Pages>
  <Words>919</Words>
  <Characters>5241</Characters>
  <Lines>43</Lines>
  <Paragraphs>12</Paragraphs>
  <TotalTime>27</TotalTime>
  <ScaleCrop>false</ScaleCrop>
  <LinksUpToDate>false</LinksUpToDate>
  <CharactersWithSpaces>6148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2021-01-07T18:30:00Z</dcterms:created>
  <dc:creator>刘冰</dc:creator>
  <cp:lastModifiedBy>徐帆</cp:lastModifiedBy>
  <dcterms:modified xsi:type="dcterms:W3CDTF">2023-12-13T09:28:52Z</dcterms:modified>
  <dc:title>山东省财政厅文件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2736EA93AAAF4162A1A00B439B1BF3C5</vt:lpwstr>
  </property>
</Properties>
</file>