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adjustRightInd w:val="0"/>
        <w:snapToGrid w:val="0"/>
        <w:spacing w:line="600" w:lineRule="exact"/>
        <w:jc w:val="left"/>
        <w:rPr>
          <w:rFonts w:ascii="黑体" w:eastAsia="黑体" w:cs="仿宋_GB2312"/>
          <w:sz w:val="32"/>
          <w:szCs w:val="32"/>
        </w:rPr>
      </w:pPr>
      <w:bookmarkStart w:id="0" w:name="_Toc39769937"/>
      <w:bookmarkStart w:id="1" w:name="_GoBack"/>
      <w:bookmarkEnd w:id="1"/>
      <w:r>
        <w:rPr>
          <w:rFonts w:ascii="黑体" w:eastAsia="黑体" w:cs="仿宋_GB2312" w:hint="eastAsia"/>
          <w:sz w:val="32"/>
          <w:szCs w:val="32"/>
        </w:rPr>
        <w:t>附件</w:t>
      </w:r>
      <w:r>
        <w:rPr>
          <w:rFonts w:ascii="黑体" w:eastAsia="黑体" w:cs="仿宋_GB2312"/>
          <w:sz w:val="32"/>
          <w:szCs w:val="32"/>
        </w:rPr>
        <w:t>3</w:t>
      </w:r>
    </w:p>
    <w:p>
      <w:pPr>
        <w:adjustRightInd w:val="0"/>
        <w:snapToGrid w:val="0"/>
        <w:spacing w:line="600" w:lineRule="exact"/>
        <w:jc w:val="left"/>
        <w:rPr>
          <w:rFonts w:ascii="黑体" w:eastAsia="黑体" w:cs="仿宋_GB2312"/>
          <w:sz w:val="32"/>
          <w:szCs w:val="32"/>
        </w:rPr>
      </w:pPr>
    </w:p>
    <w:p>
      <w:pPr>
        <w:adjustRightInd w:val="0"/>
        <w:snapToGrid w:val="0"/>
        <w:spacing w:line="600" w:lineRule="exact"/>
        <w:jc w:val="center"/>
        <w:rPr>
          <w:rFonts w:ascii="方正小标宋简体" w:eastAsia="方正小标宋简体" w:cs="方正小标宋简体"/>
          <w:sz w:val="44"/>
          <w:szCs w:val="44"/>
        </w:rPr>
      </w:pPr>
      <w:r>
        <w:rPr>
          <w:rFonts w:ascii="方正小标宋简体" w:eastAsia="方正小标宋简体" w:cs="方正小标宋简体" w:hint="eastAsia"/>
          <w:sz w:val="44"/>
          <w:szCs w:val="44"/>
        </w:rPr>
        <w:t>整体绩效指标体系设置说明</w:t>
      </w:r>
    </w:p>
    <w:p>
      <w:pPr>
        <w:adjustRightInd w:val="0"/>
        <w:snapToGrid w:val="0"/>
        <w:spacing w:line="600" w:lineRule="exact"/>
        <w:ind w:firstLineChars="200" w:firstLine="640"/>
        <w:rPr>
          <w:rFonts w:ascii="仿宋_GB2312" w:eastAsia="仿宋_GB2312"/>
          <w:sz w:val="32"/>
          <w:szCs w:val="32"/>
        </w:rPr>
      </w:pPr>
    </w:p>
    <w:p>
      <w:pPr>
        <w:adjustRightInd w:val="0"/>
        <w:snapToGrid w:val="0"/>
        <w:spacing w:line="600" w:lineRule="exact"/>
        <w:ind w:firstLineChars="200" w:firstLine="640"/>
        <w:jc w:val="left"/>
        <w:rPr>
          <w:rFonts w:ascii="黑体" w:eastAsia="黑体" w:cs="黑体"/>
          <w:sz w:val="32"/>
          <w:szCs w:val="32"/>
        </w:rPr>
      </w:pPr>
      <w:r>
        <w:rPr>
          <w:rFonts w:ascii="黑体" w:eastAsia="黑体" w:cs="黑体" w:hint="eastAsia"/>
          <w:sz w:val="32"/>
          <w:szCs w:val="32"/>
        </w:rPr>
        <w:t>一、整体绩效指标体系内容</w:t>
      </w:r>
      <w:bookmarkEnd w:id="0"/>
    </w:p>
    <w:p>
      <w:pPr>
        <w:adjustRightInd w:val="0"/>
        <w:snapToGrid w:val="0"/>
        <w:spacing w:line="600" w:lineRule="exact"/>
        <w:ind w:firstLineChars="200" w:firstLine="640"/>
        <w:jc w:val="left"/>
        <w:rPr>
          <w:rFonts w:ascii="仿宋_GB2312" w:eastAsia="仿宋_GB2312"/>
          <w:sz w:val="32"/>
          <w:szCs w:val="32"/>
        </w:rPr>
      </w:pPr>
      <w:r>
        <w:rPr>
          <w:rFonts w:ascii="仿宋_GB2312" w:eastAsia="仿宋_GB2312" w:hint="eastAsia"/>
          <w:sz w:val="32"/>
          <w:szCs w:val="32"/>
        </w:rPr>
        <w:t>整体绩效指标体系主要是反映部门工作特点、履职特色的指标。主要包括四部分：一是履职效能，重点反映部门核心职能及其年度绩效指标；二是社会效应，重点反映部门使命所呈现出的关键指标；三是可持续发展能力，重点反映部门专业职能及其年度绩效指标；四是服务对象满意度，重点反映部门服务对象的满意度，包括对部门职能实现情况、提供服务情况以及重点民生项目的满意程度等。</w:t>
      </w:r>
    </w:p>
    <w:p>
      <w:pPr>
        <w:adjustRightInd w:val="0"/>
        <w:snapToGrid w:val="0"/>
        <w:spacing w:line="600" w:lineRule="exact"/>
        <w:ind w:firstLineChars="200" w:firstLine="640"/>
        <w:jc w:val="left"/>
        <w:rPr>
          <w:rFonts w:ascii="黑体" w:eastAsia="黑体" w:cs="黑体"/>
          <w:sz w:val="32"/>
          <w:szCs w:val="32"/>
        </w:rPr>
      </w:pPr>
      <w:bookmarkStart w:id="2" w:name="_Toc39769940"/>
      <w:r>
        <w:rPr>
          <w:rFonts w:ascii="黑体" w:eastAsia="黑体" w:cs="黑体" w:hint="eastAsia"/>
          <w:sz w:val="32"/>
          <w:szCs w:val="32"/>
        </w:rPr>
        <w:t>二、整体绩效指标体系构建原则、框架、构建路径</w:t>
      </w:r>
      <w:bookmarkEnd w:id="2"/>
    </w:p>
    <w:p>
      <w:pPr>
        <w:adjustRightInd w:val="0"/>
        <w:snapToGrid w:val="0"/>
        <w:spacing w:line="600" w:lineRule="exact"/>
        <w:ind w:firstLineChars="200" w:firstLine="640"/>
        <w:jc w:val="left"/>
        <w:rPr>
          <w:rFonts w:ascii="楷体_GB2312" w:eastAsia="楷体_GB2312" w:cs="楷体_GB2312"/>
          <w:sz w:val="32"/>
          <w:szCs w:val="32"/>
        </w:rPr>
      </w:pPr>
      <w:bookmarkStart w:id="3" w:name="_Toc39769941"/>
      <w:r>
        <w:rPr>
          <w:rFonts w:ascii="楷体_GB2312" w:eastAsia="楷体_GB2312" w:cs="楷体_GB2312" w:hint="eastAsia"/>
          <w:sz w:val="32"/>
          <w:szCs w:val="32"/>
        </w:rPr>
        <w:t>（一）构建原则</w:t>
      </w:r>
      <w:bookmarkEnd w:id="3"/>
    </w:p>
    <w:p>
      <w:pPr>
        <w:adjustRightInd w:val="0"/>
        <w:snapToGrid w:val="0"/>
        <w:spacing w:line="600" w:lineRule="exact"/>
        <w:ind w:firstLineChars="200" w:firstLine="640"/>
        <w:jc w:val="left"/>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.体系完整化。指标体系以结果性指标为主，过程性指标为辅，覆盖部门的核心职能，逻辑清晰，体系完整，不是部门碎片工作的简单整合，</w:t>
      </w:r>
      <w:r>
        <w:rPr>
          <w:rFonts w:ascii="仿宋_GB2312" w:eastAsia="仿宋_GB2312" w:hint="eastAsia"/>
          <w:sz w:val="32"/>
          <w:szCs w:val="32"/>
        </w:rPr>
        <w:t>应</w:t>
      </w:r>
      <w:r>
        <w:rPr>
          <w:rFonts w:ascii="仿宋_GB2312" w:eastAsia="仿宋_GB2312"/>
          <w:sz w:val="32"/>
          <w:szCs w:val="32"/>
        </w:rPr>
        <w:t>能够系统完整呈现部门的核心履职效能。</w:t>
      </w:r>
    </w:p>
    <w:p>
      <w:pPr>
        <w:adjustRightInd w:val="0"/>
        <w:snapToGrid w:val="0"/>
        <w:spacing w:line="600" w:lineRule="exact"/>
        <w:ind w:firstLineChars="200" w:firstLine="640"/>
        <w:jc w:val="left"/>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.指标标准化。在全省统一框架体系内，基于规划和职责基础上</w:t>
      </w:r>
      <w:r>
        <w:rPr>
          <w:rFonts w:ascii="仿宋_GB2312" w:eastAsia="仿宋_GB2312" w:hint="eastAsia"/>
          <w:sz w:val="32"/>
          <w:szCs w:val="32"/>
        </w:rPr>
        <w:t>构建</w:t>
      </w:r>
      <w:r>
        <w:rPr>
          <w:rFonts w:ascii="仿宋_GB2312" w:eastAsia="仿宋_GB2312"/>
          <w:sz w:val="32"/>
          <w:szCs w:val="32"/>
        </w:rPr>
        <w:t>指标体系，指标相对稳定，可实现纵向可比和横向可比。</w:t>
      </w:r>
    </w:p>
    <w:p>
      <w:pPr>
        <w:adjustRightInd w:val="0"/>
        <w:snapToGrid w:val="0"/>
        <w:spacing w:line="60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sz w:val="32"/>
          <w:szCs w:val="32"/>
        </w:rPr>
        <w:t>.标准明确化。</w:t>
      </w:r>
      <w:r>
        <w:rPr>
          <w:rFonts w:ascii="仿宋_GB2312" w:eastAsia="仿宋_GB2312" w:hint="eastAsia"/>
          <w:sz w:val="32"/>
          <w:szCs w:val="32"/>
        </w:rPr>
        <w:t>以</w:t>
      </w:r>
      <w:r>
        <w:rPr>
          <w:rFonts w:ascii="仿宋_GB2312" w:eastAsia="仿宋_GB2312"/>
          <w:sz w:val="32"/>
          <w:szCs w:val="32"/>
        </w:rPr>
        <w:t>明确指标标准值或历史值，</w:t>
      </w:r>
      <w:r>
        <w:rPr>
          <w:rFonts w:ascii="仿宋_GB2312" w:eastAsia="仿宋_GB2312" w:hint="eastAsia"/>
          <w:sz w:val="32"/>
          <w:szCs w:val="32"/>
        </w:rPr>
        <w:t>作为</w:t>
      </w:r>
      <w:r>
        <w:rPr>
          <w:rFonts w:ascii="仿宋_GB2312" w:eastAsia="仿宋_GB2312"/>
          <w:sz w:val="32"/>
          <w:szCs w:val="32"/>
        </w:rPr>
        <w:t>设定和审核指标值的参考依据。</w:t>
      </w:r>
    </w:p>
    <w:p>
      <w:pPr>
        <w:adjustRightInd w:val="0"/>
        <w:snapToGrid w:val="0"/>
        <w:spacing w:line="600" w:lineRule="exact"/>
        <w:ind w:firstLineChars="200" w:firstLine="640"/>
        <w:rPr>
          <w:rFonts w:ascii="仿宋_GB2312" w:eastAsia="仿宋_GB2312"/>
          <w:sz w:val="32"/>
          <w:szCs w:val="32"/>
        </w:rPr>
      </w:pPr>
      <w:r>
        <w:rPr>
          <w:rFonts w:ascii="仿宋_GB2312" w:eastAsia="仿宋_GB2312"/>
          <w:sz w:val="32"/>
          <w:szCs w:val="32"/>
        </w:rPr>
        <w:t>4.来源可溯化。指标、指标值、标准值及历史值等都</w:t>
      </w:r>
      <w:r>
        <w:rPr>
          <w:rFonts w:ascii="仿宋_GB2312" w:eastAsia="仿宋_GB2312" w:hint="eastAsia"/>
          <w:sz w:val="32"/>
          <w:szCs w:val="32"/>
        </w:rPr>
        <w:t>要</w:t>
      </w:r>
      <w:r>
        <w:rPr>
          <w:rFonts w:ascii="仿宋_GB2312" w:eastAsia="仿宋_GB2312"/>
          <w:sz w:val="32"/>
          <w:szCs w:val="32"/>
        </w:rPr>
        <w:t>有明确可追溯的来源，强调客观性和权威性，为</w:t>
      </w:r>
      <w:r>
        <w:rPr>
          <w:rFonts w:ascii="仿宋_GB2312" w:eastAsia="仿宋_GB2312" w:hint="eastAsia"/>
          <w:sz w:val="32"/>
          <w:szCs w:val="32"/>
        </w:rPr>
        <w:t>整体</w:t>
      </w:r>
      <w:r>
        <w:rPr>
          <w:rFonts w:ascii="仿宋_GB2312" w:eastAsia="仿宋_GB2312"/>
          <w:sz w:val="32"/>
          <w:szCs w:val="32"/>
        </w:rPr>
        <w:t>绩效自评和评价奠定基础。</w:t>
      </w:r>
    </w:p>
    <w:p>
      <w:pPr>
        <w:adjustRightInd w:val="0"/>
        <w:snapToGrid w:val="0"/>
        <w:spacing w:line="600" w:lineRule="exact"/>
        <w:ind w:firstLineChars="200" w:firstLine="640"/>
        <w:rPr>
          <w:rFonts w:ascii="楷体_GB2312" w:eastAsia="楷体_GB2312" w:cs="楷体_GB2312"/>
          <w:sz w:val="32"/>
          <w:szCs w:val="32"/>
        </w:rPr>
      </w:pPr>
      <w:bookmarkStart w:id="4" w:name="_Toc39769942"/>
      <w:r>
        <w:rPr>
          <w:rFonts w:ascii="楷体_GB2312" w:eastAsia="楷体_GB2312" w:cs="楷体_GB2312" w:hint="eastAsia"/>
          <w:sz w:val="32"/>
          <w:szCs w:val="32"/>
        </w:rPr>
        <w:t>（二）构建总体框架</w:t>
      </w:r>
      <w:bookmarkEnd w:id="4"/>
      <w:r>
        <w:rPr>
          <w:rFonts w:ascii="楷体_GB2312" w:eastAsia="楷体_GB2312" w:cs="楷体_GB2312" w:hint="eastAsia"/>
          <w:sz w:val="32"/>
          <w:szCs w:val="32"/>
        </w:rPr>
        <w:t>、构建路径和基本要求</w:t>
      </w:r>
    </w:p>
    <w:p>
      <w:pPr>
        <w:adjustRightInd w:val="0"/>
        <w:snapToGrid w:val="0"/>
        <w:spacing w:line="600" w:lineRule="exact"/>
        <w:ind w:firstLineChars="200" w:firstLine="640"/>
        <w:rPr>
          <w:rFonts w:ascii="仿宋_GB2312" w:eastAsia="仿宋_GB2312"/>
          <w:sz w:val="32"/>
          <w:szCs w:val="32"/>
        </w:rPr>
      </w:pPr>
      <w:r>
        <w:rPr>
          <w:rFonts w:ascii="仿宋_GB2312" w:eastAsia="仿宋_GB2312" w:hint="eastAsia"/>
          <w:sz w:val="32"/>
          <w:szCs w:val="32"/>
        </w:rPr>
        <w:t>整体绩效指标体系由整体战略指标体系和部门年度整体绩效指标体系两个层次指标和目标构成。</w:t>
      </w:r>
    </w:p>
    <w:p>
      <w:pPr>
        <w:adjustRightInd w:val="0"/>
        <w:snapToGrid w:val="0"/>
        <w:spacing w:line="600" w:lineRule="exact"/>
        <w:ind w:firstLineChars="200" w:firstLine="640"/>
        <w:rPr>
          <w:rFonts w:ascii="仿宋_GB2312" w:eastAsia="仿宋_GB2312"/>
          <w:b/>
          <w:bCs/>
          <w:sz w:val="32"/>
          <w:szCs w:val="32"/>
        </w:rPr>
      </w:pPr>
      <w:bookmarkStart w:id="5" w:name="_Toc39769944"/>
      <w:r>
        <w:rPr>
          <w:rFonts w:ascii="仿宋_GB2312" w:eastAsia="仿宋_GB2312" w:hint="eastAsia"/>
          <w:b/>
          <w:bCs/>
          <w:sz w:val="32"/>
          <w:szCs w:val="32"/>
        </w:rPr>
        <w:t>1</w:t>
      </w:r>
      <w:r>
        <w:rPr>
          <w:rFonts w:ascii="仿宋_GB2312" w:eastAsia="仿宋_GB2312"/>
          <w:b/>
          <w:bCs/>
          <w:sz w:val="32"/>
          <w:szCs w:val="32"/>
        </w:rPr>
        <w:t>.</w:t>
      </w:r>
      <w:r>
        <w:rPr>
          <w:rFonts w:ascii="仿宋_GB2312" w:eastAsia="仿宋_GB2312" w:hint="eastAsia"/>
          <w:b/>
          <w:bCs/>
          <w:sz w:val="32"/>
          <w:szCs w:val="32"/>
        </w:rPr>
        <w:t>整体战略绩效指标</w:t>
      </w:r>
      <w:bookmarkEnd w:id="5"/>
      <w:r>
        <w:rPr>
          <w:rFonts w:ascii="仿宋_GB2312" w:eastAsia="仿宋_GB2312" w:hint="eastAsia"/>
          <w:b/>
          <w:bCs/>
          <w:sz w:val="32"/>
          <w:szCs w:val="32"/>
        </w:rPr>
        <w:t>及目标</w:t>
      </w:r>
    </w:p>
    <w:p>
      <w:pPr>
        <w:adjustRightInd w:val="0"/>
        <w:snapToGrid w:val="0"/>
        <w:spacing w:line="600" w:lineRule="exact"/>
        <w:ind w:firstLineChars="200" w:firstLine="640"/>
        <w:rPr>
          <w:rFonts w:ascii="仿宋_GB2312" w:eastAsia="仿宋_GB2312"/>
          <w:spacing w:val="-11"/>
          <w:sz w:val="32"/>
          <w:szCs w:val="32"/>
        </w:rPr>
      </w:pPr>
      <w:r>
        <w:rPr>
          <w:rFonts w:ascii="仿宋_GB2312" w:eastAsia="仿宋_GB2312" w:hint="eastAsia"/>
          <w:sz w:val="32"/>
          <w:szCs w:val="32"/>
        </w:rPr>
        <w:t>（</w:t>
      </w:r>
      <w:r>
        <w:rPr>
          <w:rFonts w:ascii="仿宋_GB2312" w:eastAsia="仿宋_GB2312"/>
          <w:sz w:val="32"/>
          <w:szCs w:val="32"/>
        </w:rPr>
        <w:t>1</w:t>
      </w:r>
      <w:r>
        <w:rPr>
          <w:rFonts w:ascii="仿宋_GB2312" w:eastAsia="仿宋_GB2312" w:hint="eastAsia"/>
          <w:sz w:val="32"/>
          <w:szCs w:val="32"/>
        </w:rPr>
        <w:t>）</w:t>
      </w:r>
      <w:r>
        <w:rPr>
          <w:rFonts w:ascii="仿宋_GB2312" w:eastAsia="仿宋_GB2312" w:hint="eastAsia"/>
          <w:spacing w:val="-11"/>
          <w:sz w:val="32"/>
          <w:szCs w:val="32"/>
        </w:rPr>
        <w:t>来源：中长期区域发展规划、行业或事业发展规划</w:t>
      </w:r>
    </w:p>
    <w:p>
      <w:pPr>
        <w:adjustRightInd w:val="0"/>
        <w:snapToGrid w:val="0"/>
        <w:spacing w:line="600" w:lineRule="exact"/>
        <w:ind w:firstLineChars="200" w:firstLine="640"/>
        <w:rPr>
          <w:rFonts w:ascii="仿宋_GB2312" w:eastAsia="仿宋_GB2312"/>
          <w:sz w:val="32"/>
          <w:szCs w:val="32"/>
        </w:rPr>
      </w:pPr>
      <w:r>
        <w:rPr>
          <w:rFonts w:ascii="仿宋_GB2312" w:eastAsia="仿宋_GB2312" w:hint="eastAsia"/>
          <w:sz w:val="32"/>
          <w:szCs w:val="32"/>
        </w:rPr>
        <w:t>（2）设定原则和思路：</w:t>
      </w:r>
    </w:p>
    <w:p>
      <w:pPr>
        <w:adjustRightInd w:val="0"/>
        <w:snapToGrid w:val="0"/>
        <w:spacing w:line="600" w:lineRule="exact"/>
        <w:ind w:firstLineChars="200" w:firstLine="640"/>
        <w:rPr>
          <w:rFonts w:ascii="仿宋_GB2312" w:eastAsia="仿宋_GB2312"/>
          <w:sz w:val="32"/>
          <w:szCs w:val="32"/>
        </w:rPr>
      </w:pPr>
      <w:r>
        <w:rPr>
          <w:rFonts w:ascii="仿宋_GB2312" w:eastAsia="仿宋_GB2312" w:hint="eastAsia"/>
          <w:sz w:val="32"/>
          <w:szCs w:val="32"/>
        </w:rPr>
        <w:t>通过对中长期发展规划的梳理、分解，以地方政府出台的或上级业务主管部门出台的规划为主，选择由部门承担主要责任、体现区域特色的指标作为战略性目标。</w:t>
      </w:r>
    </w:p>
    <w:p>
      <w:pPr>
        <w:adjustRightInd w:val="0"/>
        <w:snapToGrid w:val="0"/>
        <w:spacing w:line="600" w:lineRule="exact"/>
        <w:ind w:firstLineChars="200" w:firstLine="640"/>
        <w:rPr>
          <w:rFonts w:ascii="仿宋_GB2312" w:eastAsia="仿宋_GB2312"/>
          <w:b/>
          <w:bCs/>
          <w:sz w:val="32"/>
          <w:szCs w:val="32"/>
        </w:rPr>
      </w:pPr>
      <w:bookmarkStart w:id="6" w:name="_Toc39769945"/>
      <w:r>
        <w:rPr>
          <w:rFonts w:ascii="仿宋_GB2312" w:eastAsia="仿宋_GB2312" w:hint="eastAsia"/>
          <w:b/>
          <w:bCs/>
          <w:sz w:val="32"/>
          <w:szCs w:val="32"/>
        </w:rPr>
        <w:t>2</w:t>
      </w:r>
      <w:r>
        <w:rPr>
          <w:rFonts w:ascii="仿宋_GB2312" w:eastAsia="仿宋_GB2312"/>
          <w:b/>
          <w:bCs/>
          <w:sz w:val="32"/>
          <w:szCs w:val="32"/>
        </w:rPr>
        <w:t>.</w:t>
      </w:r>
      <w:r>
        <w:rPr>
          <w:rFonts w:ascii="仿宋_GB2312" w:eastAsia="仿宋_GB2312" w:hint="eastAsia"/>
          <w:b/>
          <w:bCs/>
          <w:sz w:val="32"/>
          <w:szCs w:val="32"/>
        </w:rPr>
        <w:t>部门年度整体绩效指标及目标</w:t>
      </w:r>
      <w:bookmarkEnd w:id="6"/>
    </w:p>
    <w:p>
      <w:pPr>
        <w:adjustRightInd w:val="0"/>
        <w:snapToGrid w:val="0"/>
        <w:spacing w:line="600" w:lineRule="exact"/>
        <w:ind w:firstLineChars="200" w:firstLine="640"/>
        <w:rPr>
          <w:rFonts w:ascii="仿宋_GB2312" w:eastAsia="仿宋_GB2312"/>
          <w:sz w:val="32"/>
          <w:szCs w:val="32"/>
        </w:rPr>
      </w:pPr>
      <w:r>
        <w:rPr>
          <w:rFonts w:ascii="仿宋_GB2312" w:eastAsia="仿宋_GB2312" w:hint="eastAsia"/>
          <w:sz w:val="32"/>
          <w:szCs w:val="32"/>
        </w:rPr>
        <w:t>部门年度整体绩效指标体系构建按照</w:t>
      </w:r>
      <w:r>
        <w:rPr>
          <w:rFonts w:ascii="仿宋_GB2312" w:eastAsia="仿宋_GB2312"/>
          <w:sz w:val="32"/>
          <w:szCs w:val="32"/>
        </w:rPr>
        <w:t>梳理部门职责-整合职责体系-确定职责目标-设置绩效指标</w:t>
      </w:r>
      <w:r>
        <w:rPr>
          <w:rFonts w:ascii="仿宋_GB2312" w:eastAsia="仿宋_GB2312" w:hint="eastAsia"/>
          <w:sz w:val="32"/>
          <w:szCs w:val="32"/>
        </w:rPr>
        <w:t>的路径开展。</w:t>
      </w:r>
    </w:p>
    <w:p>
      <w:pPr>
        <w:adjustRightInd w:val="0"/>
        <w:snapToGrid w:val="0"/>
        <w:spacing w:line="600" w:lineRule="exact"/>
        <w:ind w:firstLineChars="200" w:firstLine="640"/>
        <w:rPr>
          <w:rFonts w:ascii="仿宋_GB2312" w:eastAsia="仿宋_GB2312"/>
          <w:sz w:val="32"/>
          <w:szCs w:val="32"/>
        </w:rPr>
      </w:pPr>
      <w:r>
        <w:rPr>
          <w:rFonts w:ascii="仿宋_GB2312" w:eastAsia="仿宋_GB2312" w:hint="eastAsia"/>
          <w:sz w:val="32"/>
          <w:szCs w:val="32"/>
        </w:rPr>
        <w:t>部门内部确定部门具体职责后，将职责分配到相关各内设机构，由其具体设定绩效目标和指标。</w:t>
      </w:r>
    </w:p>
    <w:p>
      <w:pPr>
        <w:adjustRightInd w:val="0"/>
        <w:snapToGrid w:val="0"/>
        <w:spacing w:line="60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1</w:t>
      </w:r>
      <w:r>
        <w:rPr>
          <w:rFonts w:ascii="仿宋_GB2312" w:eastAsia="仿宋_GB2312" w:hint="eastAsia"/>
          <w:sz w:val="32"/>
          <w:szCs w:val="32"/>
        </w:rPr>
        <w:t>）系统梳理部门全部职责</w:t>
      </w:r>
    </w:p>
    <w:p>
      <w:pPr>
        <w:adjustRightInd w:val="0"/>
        <w:snapToGrid w:val="0"/>
        <w:spacing w:line="600" w:lineRule="exact"/>
        <w:ind w:firstLineChars="200" w:firstLine="640"/>
        <w:rPr>
          <w:rFonts w:ascii="仿宋_GB2312" w:eastAsia="仿宋_GB2312"/>
          <w:sz w:val="32"/>
          <w:szCs w:val="32"/>
        </w:rPr>
      </w:pPr>
      <w:r>
        <w:rPr>
          <w:rFonts w:ascii="仿宋_GB2312" w:eastAsia="仿宋_GB2312" w:hint="eastAsia"/>
          <w:sz w:val="32"/>
          <w:szCs w:val="32"/>
        </w:rPr>
        <w:t>主要根据“三定方案”，结合内部机构设置和事业发展规划等，梳理出部门的所有核心职责。职责应满足两个条件：一是基本稳定的（与具体工作活动区分开），二是具备明确的绩效目标。</w:t>
      </w:r>
    </w:p>
    <w:p>
      <w:pPr>
        <w:adjustRightInd w:val="0"/>
        <w:snapToGrid w:val="0"/>
        <w:spacing w:line="600" w:lineRule="exact"/>
        <w:ind w:firstLineChars="200" w:firstLine="640"/>
        <w:rPr>
          <w:rFonts w:ascii="仿宋_GB2312" w:eastAsia="仿宋_GB2312"/>
          <w:sz w:val="32"/>
          <w:szCs w:val="32"/>
        </w:rPr>
      </w:pPr>
      <w:r>
        <w:rPr>
          <w:rFonts w:ascii="仿宋_GB2312" w:eastAsia="仿宋_GB2312" w:hint="eastAsia"/>
          <w:sz w:val="32"/>
          <w:szCs w:val="32"/>
        </w:rPr>
        <w:t>梳理部门职责的基本要求包括：</w:t>
      </w:r>
    </w:p>
    <w:p>
      <w:pPr>
        <w:adjustRightInd w:val="0"/>
        <w:snapToGrid w:val="0"/>
        <w:spacing w:line="600" w:lineRule="exact"/>
        <w:ind w:firstLineChars="200" w:firstLine="640"/>
        <w:rPr>
          <w:rFonts w:ascii="仿宋_GB2312" w:eastAsia="仿宋_GB2312"/>
          <w:sz w:val="32"/>
          <w:szCs w:val="32"/>
        </w:rPr>
      </w:pPr>
      <w:r>
        <w:rPr>
          <w:rFonts w:ascii="仿宋_GB2312" w:eastAsia="仿宋_GB2312" w:hint="eastAsia"/>
          <w:sz w:val="32"/>
          <w:szCs w:val="32"/>
        </w:rPr>
        <w:t>①主要反映履职职能，弱化行政职能。部门职责分为三类：核心职责、专业职责和行政职责。其中，</w:t>
      </w:r>
      <w:r>
        <w:rPr>
          <w:rFonts w:ascii="仿宋_GB2312" w:eastAsia="仿宋_GB2312"/>
          <w:sz w:val="32"/>
          <w:szCs w:val="32"/>
        </w:rPr>
        <w:t>核心职能为社会提供核心公共服务；专业职能为部门有效达成工作目标提供服务，如科技创新、人才培养等</w:t>
      </w:r>
      <w:r>
        <w:rPr>
          <w:rFonts w:ascii="仿宋_GB2312" w:eastAsia="仿宋_GB2312" w:hint="eastAsia"/>
          <w:sz w:val="32"/>
          <w:szCs w:val="32"/>
        </w:rPr>
        <w:t>；</w:t>
      </w:r>
      <w:r>
        <w:rPr>
          <w:rFonts w:ascii="仿宋_GB2312" w:eastAsia="仿宋_GB2312"/>
          <w:sz w:val="32"/>
          <w:szCs w:val="32"/>
        </w:rPr>
        <w:t>管理/行政职能提供部门基础保障，如人财物保障等</w:t>
      </w:r>
      <w:r>
        <w:rPr>
          <w:rFonts w:ascii="仿宋_GB2312" w:eastAsia="仿宋_GB2312" w:hint="eastAsia"/>
          <w:sz w:val="32"/>
          <w:szCs w:val="32"/>
        </w:rPr>
        <w:t xml:space="preserve">。   </w:t>
      </w:r>
    </w:p>
    <w:p>
      <w:pPr>
        <w:adjustRightInd w:val="0"/>
        <w:snapToGrid w:val="0"/>
        <w:spacing w:line="600" w:lineRule="exact"/>
        <w:ind w:firstLineChars="200" w:firstLine="640"/>
        <w:rPr>
          <w:rFonts w:ascii="仿宋_GB2312" w:eastAsia="仿宋_GB2312"/>
          <w:sz w:val="32"/>
          <w:szCs w:val="32"/>
        </w:rPr>
      </w:pPr>
      <w:r>
        <w:rPr>
          <w:rFonts w:ascii="仿宋_GB2312" w:eastAsia="仿宋_GB2312" w:hint="eastAsia"/>
          <w:sz w:val="32"/>
          <w:szCs w:val="32"/>
        </w:rPr>
        <w:t>②主要梳理体现部门使命的核心职责。梳理部门职责时，应重点突出、反映核心职责。对三定方案中有，在实践中已经弱化的职责，可不必面面俱到。对三定方案没有，实践中部门职责有新的调整时，可以有依据的添加进入。</w:t>
      </w:r>
    </w:p>
    <w:p>
      <w:pPr>
        <w:adjustRightInd w:val="0"/>
        <w:snapToGrid w:val="0"/>
        <w:spacing w:line="600" w:lineRule="exact"/>
        <w:ind w:firstLineChars="200" w:firstLine="640"/>
        <w:rPr>
          <w:rFonts w:ascii="仿宋_GB2312" w:eastAsia="仿宋_GB2312"/>
          <w:color w:val="000000"/>
          <w:sz w:val="32"/>
          <w:szCs w:val="32"/>
        </w:rPr>
      </w:pPr>
      <w:r>
        <w:rPr>
          <w:rFonts w:ascii="仿宋_GB2312" w:eastAsia="仿宋_GB2312" w:hint="eastAsia"/>
          <w:sz w:val="32"/>
          <w:szCs w:val="32"/>
        </w:rPr>
        <w:t>③部门职责梳理时，可适当结合内设机构设置情况，但不要拘泥于其设置</w:t>
      </w:r>
      <w:r>
        <w:rPr>
          <w:rFonts w:ascii="仿宋_GB2312" w:eastAsia="仿宋_GB2312" w:hint="eastAsia"/>
          <w:color w:val="000000"/>
          <w:sz w:val="32"/>
          <w:szCs w:val="32"/>
        </w:rPr>
        <w:t>。</w:t>
      </w:r>
    </w:p>
    <w:p>
      <w:pPr>
        <w:adjustRightInd w:val="0"/>
        <w:snapToGrid w:val="0"/>
        <w:spacing w:line="60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2</w:t>
      </w:r>
      <w:r>
        <w:rPr>
          <w:rFonts w:ascii="仿宋_GB2312" w:eastAsia="仿宋_GB2312" w:hint="eastAsia"/>
          <w:sz w:val="32"/>
          <w:szCs w:val="32"/>
        </w:rPr>
        <w:t>）整合职责体系</w:t>
      </w:r>
    </w:p>
    <w:p>
      <w:pPr>
        <w:adjustRightInd w:val="0"/>
        <w:snapToGrid w:val="0"/>
        <w:spacing w:line="600" w:lineRule="exact"/>
        <w:ind w:firstLineChars="200" w:firstLine="640"/>
        <w:rPr>
          <w:rFonts w:ascii="仿宋_GB2312" w:eastAsia="仿宋_GB2312"/>
          <w:sz w:val="32"/>
          <w:szCs w:val="32"/>
        </w:rPr>
      </w:pPr>
      <w:r>
        <w:rPr>
          <w:rFonts w:ascii="仿宋_GB2312" w:eastAsia="仿宋_GB2312" w:hint="eastAsia"/>
          <w:sz w:val="32"/>
          <w:szCs w:val="32"/>
        </w:rPr>
        <w:t>对职责可以按照服务对象、工作内容等维度进行整合，使职责具备恰当的逻辑关系，即同一层次的职责应为并列关系，上下级层次职责应为包含关系，形成职责体系。</w:t>
      </w:r>
    </w:p>
    <w:p>
      <w:pPr>
        <w:adjustRightInd w:val="0"/>
        <w:snapToGrid w:val="0"/>
        <w:spacing w:line="600" w:lineRule="exact"/>
        <w:ind w:firstLineChars="200" w:firstLine="640"/>
        <w:rPr>
          <w:rFonts w:ascii="仿宋_GB2312" w:eastAsia="仿宋_GB2312"/>
          <w:sz w:val="32"/>
          <w:szCs w:val="32"/>
        </w:rPr>
      </w:pPr>
      <w:r>
        <w:rPr>
          <w:rFonts w:ascii="仿宋_GB2312" w:eastAsia="仿宋_GB2312" w:hint="eastAsia"/>
          <w:sz w:val="32"/>
          <w:szCs w:val="32"/>
        </w:rPr>
        <w:t>职责整合的目的主要是为了部门职责清晰完整展示，无需对其进行目标和指标设置。</w:t>
      </w:r>
    </w:p>
    <w:p>
      <w:pPr>
        <w:adjustRightInd w:val="0"/>
        <w:snapToGrid w:val="0"/>
        <w:spacing w:line="60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3</w:t>
      </w:r>
      <w:r>
        <w:rPr>
          <w:rFonts w:ascii="仿宋_GB2312" w:eastAsia="仿宋_GB2312" w:hint="eastAsia"/>
          <w:sz w:val="32"/>
          <w:szCs w:val="32"/>
        </w:rPr>
        <w:t>）确定年度目标和绩效指标</w:t>
      </w:r>
    </w:p>
    <w:p>
      <w:pPr>
        <w:adjustRightInd w:val="0"/>
        <w:snapToGrid w:val="0"/>
        <w:spacing w:line="600" w:lineRule="exact"/>
        <w:ind w:firstLineChars="200" w:firstLine="640"/>
        <w:rPr>
          <w:rFonts w:ascii="仿宋_GB2312" w:eastAsia="仿宋_GB2312"/>
          <w:sz w:val="32"/>
          <w:szCs w:val="32"/>
        </w:rPr>
      </w:pPr>
      <w:r>
        <w:rPr>
          <w:rFonts w:ascii="仿宋_GB2312" w:eastAsia="仿宋_GB2312" w:hint="eastAsia"/>
          <w:sz w:val="32"/>
          <w:szCs w:val="32"/>
        </w:rPr>
        <w:t>整理各项职责的绩效目标：部门各内设机构按照分工，根据各类工作规划、相关政策要求和上级考核指标等，整理涉及自身职责的绩效目标。</w:t>
      </w:r>
    </w:p>
    <w:p>
      <w:pPr>
        <w:adjustRightInd w:val="0"/>
        <w:snapToGrid w:val="0"/>
        <w:spacing w:line="600" w:lineRule="exact"/>
        <w:ind w:firstLineChars="200" w:firstLine="640"/>
        <w:rPr>
          <w:rFonts w:ascii="仿宋_GB2312" w:eastAsia="仿宋_GB2312"/>
          <w:sz w:val="32"/>
          <w:szCs w:val="32"/>
        </w:rPr>
      </w:pPr>
      <w:r>
        <w:rPr>
          <w:rFonts w:ascii="仿宋_GB2312" w:eastAsia="仿宋_GB2312" w:hint="eastAsia"/>
          <w:sz w:val="32"/>
          <w:szCs w:val="32"/>
        </w:rPr>
        <w:t>设置绩效指标、指标解释和指标取值：绩效指标是对绩效目标进行具体化和量化，指标解释是对绩效指标测度的具体描述。</w:t>
      </w:r>
    </w:p>
    <w:p>
      <w:pPr>
        <w:adjustRightInd w:val="0"/>
        <w:snapToGrid w:val="0"/>
        <w:spacing w:line="600" w:lineRule="exact"/>
        <w:ind w:firstLineChars="200" w:firstLine="640"/>
        <w:rPr>
          <w:rFonts w:ascii="仿宋_GB2312" w:eastAsia="仿宋_GB2312"/>
          <w:sz w:val="32"/>
          <w:szCs w:val="32"/>
        </w:rPr>
      </w:pPr>
      <w:r>
        <w:rPr>
          <w:rFonts w:ascii="仿宋_GB2312" w:eastAsia="仿宋_GB2312" w:hint="eastAsia"/>
          <w:sz w:val="32"/>
          <w:szCs w:val="32"/>
        </w:rPr>
        <w:t>对绩效指标设置的要求具体包括：</w:t>
      </w:r>
    </w:p>
    <w:p>
      <w:pPr>
        <w:adjustRightInd w:val="0"/>
        <w:snapToGrid w:val="0"/>
        <w:spacing w:line="600" w:lineRule="exact"/>
        <w:ind w:firstLineChars="200" w:firstLine="640"/>
        <w:rPr>
          <w:rFonts w:ascii="仿宋_GB2312" w:eastAsia="仿宋_GB2312"/>
          <w:sz w:val="32"/>
          <w:szCs w:val="32"/>
        </w:rPr>
      </w:pPr>
      <w:r>
        <w:rPr>
          <w:rFonts w:ascii="仿宋_GB2312" w:eastAsia="仿宋_GB2312" w:hint="eastAsia"/>
          <w:sz w:val="32"/>
          <w:szCs w:val="32"/>
        </w:rPr>
        <w:t>①绩效指标要</w:t>
      </w:r>
      <w:r>
        <w:rPr>
          <w:rFonts w:ascii="仿宋_GB2312" w:eastAsia="仿宋_GB2312" w:hint="eastAsia"/>
          <w:color w:val="000000"/>
          <w:sz w:val="32"/>
          <w:szCs w:val="32"/>
        </w:rPr>
        <w:t>反映职责履行的核心指标，而不是反映日常具体工作内容或产出的指标。</w:t>
      </w:r>
      <w:r>
        <w:rPr>
          <w:rFonts w:ascii="仿宋_GB2312" w:eastAsia="仿宋_GB2312"/>
          <w:color w:val="000000"/>
          <w:sz w:val="32"/>
          <w:szCs w:val="32"/>
        </w:rPr>
        <w:t>设置绩效指标时，要避免直接将常规工作任务完成情况直接作为考核部门职责的绩效指标。</w:t>
      </w:r>
    </w:p>
    <w:p>
      <w:pPr>
        <w:adjustRightInd w:val="0"/>
        <w:snapToGrid w:val="0"/>
        <w:spacing w:line="600" w:lineRule="exact"/>
        <w:ind w:firstLineChars="200" w:firstLine="640"/>
        <w:rPr>
          <w:rFonts w:ascii="仿宋_GB2312" w:eastAsia="仿宋_GB2312"/>
          <w:sz w:val="32"/>
          <w:szCs w:val="32"/>
        </w:rPr>
      </w:pPr>
      <w:r>
        <w:rPr>
          <w:rFonts w:ascii="仿宋_GB2312" w:eastAsia="仿宋_GB2312" w:hint="eastAsia"/>
          <w:sz w:val="32"/>
          <w:szCs w:val="32"/>
        </w:rPr>
        <w:t>②绩效指标应以结果性指标为主，尽量减少过程性指标。</w:t>
      </w:r>
    </w:p>
    <w:p>
      <w:pPr>
        <w:adjustRightInd w:val="0"/>
        <w:snapToGrid w:val="0"/>
        <w:spacing w:line="600" w:lineRule="exact"/>
        <w:ind w:firstLineChars="200" w:firstLine="640"/>
        <w:rPr>
          <w:rFonts w:ascii="仿宋_GB2312" w:eastAsia="仿宋_GB2312"/>
          <w:sz w:val="32"/>
          <w:szCs w:val="32"/>
        </w:rPr>
      </w:pPr>
      <w:r>
        <w:rPr>
          <w:rFonts w:ascii="仿宋_GB2312" w:eastAsia="仿宋_GB2312" w:hint="eastAsia"/>
          <w:sz w:val="32"/>
          <w:szCs w:val="32"/>
        </w:rPr>
        <w:t>③</w:t>
      </w:r>
      <w:r>
        <w:rPr>
          <w:rFonts w:ascii="仿宋_GB2312" w:eastAsia="仿宋_GB2312" w:hint="eastAsia"/>
          <w:color w:val="000000"/>
          <w:sz w:val="32"/>
          <w:szCs w:val="32"/>
        </w:rPr>
        <w:t>符合现阶段</w:t>
      </w:r>
      <w:r>
        <w:rPr>
          <w:rFonts w:ascii="仿宋_GB2312" w:eastAsia="仿宋_GB2312"/>
          <w:color w:val="000000"/>
          <w:sz w:val="32"/>
          <w:szCs w:val="32"/>
        </w:rPr>
        <w:t>工作改进方向或事业发展方向</w:t>
      </w:r>
      <w:r>
        <w:rPr>
          <w:rFonts w:ascii="仿宋_GB2312" w:eastAsia="仿宋_GB2312" w:hint="eastAsia"/>
          <w:sz w:val="32"/>
          <w:szCs w:val="32"/>
        </w:rPr>
        <w:t>。</w:t>
      </w:r>
    </w:p>
    <w:p>
      <w:pPr>
        <w:adjustRightInd w:val="0"/>
        <w:snapToGrid w:val="0"/>
        <w:spacing w:line="600" w:lineRule="exact"/>
        <w:ind w:firstLineChars="200" w:firstLine="640"/>
        <w:rPr>
          <w:rFonts w:ascii="仿宋_GB2312" w:eastAsia="仿宋_GB2312"/>
          <w:sz w:val="32"/>
          <w:szCs w:val="32"/>
        </w:rPr>
      </w:pPr>
      <w:r>
        <w:rPr>
          <w:rFonts w:ascii="仿宋_GB2312" w:eastAsia="仿宋_GB2312" w:hint="eastAsia"/>
          <w:sz w:val="32"/>
          <w:szCs w:val="32"/>
        </w:rPr>
        <w:t>④民生、社会服务类有明确服务对象的职责，应设置服务对象满意度指标。</w:t>
      </w:r>
    </w:p>
    <w:p>
      <w:pPr>
        <w:adjustRightInd w:val="0"/>
        <w:snapToGrid w:val="0"/>
        <w:spacing w:line="600" w:lineRule="exact"/>
        <w:ind w:firstLineChars="200" w:firstLine="640"/>
        <w:rPr>
          <w:rFonts w:ascii="仿宋_GB2312" w:eastAsia="仿宋_GB2312"/>
          <w:sz w:val="32"/>
          <w:szCs w:val="32"/>
        </w:rPr>
      </w:pPr>
      <w:r>
        <w:rPr>
          <w:rFonts w:ascii="仿宋_GB2312" w:eastAsia="仿宋_GB2312" w:hint="eastAsia"/>
          <w:sz w:val="32"/>
          <w:szCs w:val="32"/>
        </w:rPr>
        <w:t>⑤指标设置以定量指标为主；也可以设置定性指标，但是要可衡量；年度指标值应具有挑战性。</w:t>
      </w:r>
    </w:p>
    <w:p>
      <w:pPr>
        <w:adjustRightInd w:val="0"/>
        <w:snapToGrid w:val="0"/>
        <w:spacing w:line="600" w:lineRule="exact"/>
        <w:ind w:firstLineChars="200" w:firstLine="640"/>
        <w:rPr>
          <w:rFonts w:ascii="仿宋_GB2312" w:eastAsia="仿宋_GB2312"/>
          <w:b/>
          <w:bCs/>
          <w:sz w:val="32"/>
          <w:szCs w:val="32"/>
        </w:rPr>
      </w:pPr>
      <w:r>
        <w:rPr>
          <w:rFonts w:ascii="仿宋_GB2312" w:eastAsia="仿宋_GB2312" w:hint="eastAsia"/>
          <w:sz w:val="32"/>
          <w:szCs w:val="32"/>
        </w:rPr>
        <w:t>⑥设置核心指标。</w:t>
      </w:r>
    </w:p>
    <w:sectPr>
      <w:footerReference w:type="default" r:id="rId2"/>
      <w:pgSz w:w="11850" w:h="16783"/>
      <w:pgMar w:top="1701" w:right="1474" w:bottom="1701" w:left="1474" w:header="1361" w:footer="992" w:gutter="0"/>
      <w:pgNumType w:start="1"/>
      <w:docGrid w:linePitch="423"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variable"/>
    <w:sig w:usb0="800002BF" w:usb1="38CF7CFA" w:usb2="00000016" w:usb3="00000000" w:csb0="00040001" w:csb1="00000000"/>
  </w:font>
  <w:font w:name="仿宋_GB2312">
    <w:panose1 w:val="02010609030101010101"/>
    <w:charset w:val="86"/>
    <w:family w:val="modern"/>
    <w:pitch w:val="variable"/>
    <w:sig w:usb0="00000001" w:usb1="080E0000" w:usb2="00000010" w:usb3="00000000" w:csb0="00040000" w:csb1="00000000"/>
  </w:font>
  <w:font w:name="方正小标宋简体">
    <w:panose1 w:val="03000509000000000000"/>
    <w:charset w:val="86"/>
    <w:family w:val="script"/>
    <w:pitch w:val="variable"/>
    <w:sig w:usb0="00000001" w:usb1="080E0000" w:usb2="00000010" w:usb3="00000000" w:csb0="00040000" w:csb1="00000000"/>
  </w:font>
  <w:font w:name="楷体_GB2312">
    <w:panose1 w:val="02010609030101010101"/>
    <w:charset w:val="86"/>
    <w:family w:val="modern"/>
    <w:pitch w:val="variable"/>
    <w:sig w:usb0="00000001" w:usb1="080E0000" w:usb2="00000010" w:usb3="00000000" w:csb0="00040000" w:csb1="00000000"/>
  </w:font>
  <w:font w:name="DengXian">
    <w:altName w:val="Courier New"/>
    <w:panose1 w:val="00000000000000000000"/>
    <w:charset w:val="00"/>
    <w:family w:val="auto"/>
    <w:pitch w:val="variable"/>
  </w:font>
  <w:font w:name="Arial">
    <w:panose1 w:val="020B0604020202020204"/>
    <w:charset w:val="00"/>
    <w:family w:val="auto"/>
    <w:pitch w:val="variable"/>
    <w:sig w:usb0="00007A87" w:usb1="80000000" w:usb2="00000008"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tabs>
        <w:tab w:val="center" w:pos="4153"/>
        <w:tab w:val="right" w:pos="8306"/>
      </w:tabs>
    </w:pPr>
    <w:r>
      <mc:AlternateContent>
        <mc:Choice Requires="wps">
          <w:drawing>
            <wp:anchor distT="0" distB="0" distL="114300" distR="114300" simplePos="0" relativeHeight="12" behindDoc="0" locked="0" layoutInCell="1" hidden="0" allowOverlap="1">
              <wp:simplePos x="0" y="0"/>
              <wp:positionH relativeFrom="margin">
                <wp:posOffset>2603500</wp:posOffset>
              </wp:positionH>
              <wp:positionV relativeFrom="paragraph">
                <wp:posOffset>635</wp:posOffset>
              </wp:positionV>
              <wp:extent cx="228600" cy="268605"/>
              <wp:effectExtent l="0" t="0" r="0" b="0"/>
              <wp:wrapNone/>
              <wp:docPr id="1" name="文本框 6"/>
              <wp:cNvGraphicFramePr>
                <a:graphicFrameLocks noChangeAspect="0"/>
              </wp:cNvGraphicFramePr>
              <a:graphic>
                <a:graphicData uri="http://schemas.microsoft.com/office/word/2010/wordprocessingShape">
                  <wps:wsp>
                    <wps:cNvSpPr/>
                    <wps:spPr>
                      <a:xfrm rot="0">
                        <a:off x="0" y="0"/>
                        <a:ext cx="228600" cy="268605"/>
                      </a:xfrm>
                      <a:prstGeom prst="rect"/>
                      <a:noFill/>
                      <a:ln w="6350" cmpd="sng" cap="flat">
                        <a:noFill/>
                        <a:prstDash val="solid"/>
                        <a:round/>
                      </a:ln>
                    </wps:spPr>
                    <wps:txbx id="2">
                      <w:txbxContent>
                        <w:p>
                          <w:pPr>
                            <w:pStyle w:val="17"/>
                            <w:tabs>
                              <w:tab w:val="center" w:pos="4153"/>
                              <w:tab w:val="right" w:pos="8306"/>
                            </w:tabs>
                            <w:rPr>
                              <w:rFonts w:ascii="Times New Roman" w:eastAsia="宋体" w:cs="Times New Roman" w:hAnsi="Times New Roman"/>
                              <w:sz w:val="28"/>
                              <w:szCs w:val="28"/>
                            </w:rPr>
                          </w:pPr>
                          <w:r>
                            <w:rPr>
                              <w:rFonts w:ascii="Times New Roman" w:eastAsia="宋体" w:cs="Times New Roman" w:hAnsi="Times New Roman"/>
                              <w:sz w:val="28"/>
                              <w:szCs w:val="28"/>
                            </w:rPr>
                            <w:fldChar w:fldCharType="begin"/>
                          </w:r>
                          <w:r>
                            <w:rPr>
                              <w:rFonts w:ascii="Times New Roman" w:eastAsia="宋体" w:cs="Times New Roman" w:hAnsi="Times New Roman"/>
                              <w:sz w:val="28"/>
                              <w:szCs w:val="28"/>
                            </w:rPr>
                            <w:instrText xml:space="preserve"> PAGE  \* MERGEFORMAT </w:instrText>
                          </w:r>
                          <w:r>
                            <w:rPr>
                              <w:rFonts w:ascii="Times New Roman" w:eastAsia="宋体" w:cs="Times New Roman" w:hAnsi="Times New Roman" w:hint="eastAsia"/>
                              <w:sz w:val="28"/>
                              <w:szCs w:val="28"/>
                            </w:rPr>
                            <w:fldChar w:fldCharType="separate"/>
                          </w:r>
                          <w:r>
                            <w:rPr>
                              <w:rFonts w:ascii="Times New Roman" w:eastAsia="宋体" w:cs="Times New Roman" w:hAnsi="Times New Roman"/>
                              <w:sz w:val="28"/>
                              <w:szCs w:val="28"/>
                            </w:rPr>
                            <w:t>1</w:t>
                          </w:r>
                          <w:r>
                            <w:rPr>
                              <w:rFonts w:ascii="Times New Roman" w:eastAsia="宋体" w:cs="Times New Roman" w:hAnsi="Times New Roman" w:hint="eastAsia"/>
                              <w:sz w:val="28"/>
                              <w:szCs w:val="28"/>
                            </w:rPr>
                            <w:fldChar w:fldCharType="end"/>
                          </w:r>
                        </w:p>
                      </w:txbxContent>
                    </wps:txbx>
                    <wps:bodyPr vert="horz" wrap="square" lIns="0" tIns="0" rIns="0" bIns="0" anchor="t" anchorCtr="0" upright="0">
                      <a:noAutofit/>
                    </wps:bodyPr>
                  </wps:wsp>
                </a:graphicData>
              </a:graphic>
            </wp:anchor>
          </w:drawing>
        </mc:Choice>
        <mc:Fallback>
          <w:pict>
            <v:shape type="#_x0000_t202" id="文本框 6 3" o:spid="_x0000_s3" filled="f" stroked="f" strokeweight="0.5pt" style="position:absolute;margin-left:205.0pt;margin-top:0.05pt;width:18.0pt;height:21.15pt;z-index:12;mso-position-horizontal:absolute;mso-position-horizontal-relative:margin;mso-position-vertical:absolute;mso-wrap-style:square;">
              <v:stroke color="#000000"/>
              <v:textbox id="848" inset="0mm,0mm,0mm,0mm" o:insetmode="custom" style="layout-flow:horizontal;v-text-anchor:top;">
                <w:txbxContent>
                  <w:p>
                    <w:pPr>
                      <w:pStyle w:val="17"/>
                      <w:tabs>
                        <w:tab w:val="center" w:pos="4153"/>
                        <w:tab w:val="right" w:pos="8306"/>
                      </w:tabs>
                      <w:rPr>
                        <w:rFonts w:ascii="Times New Roman" w:eastAsia="宋体" w:cs="Times New Roman" w:hAnsi="Times New Roman"/>
                        <w:sz w:val="28"/>
                        <w:szCs w:val="28"/>
                      </w:rPr>
                    </w:pPr>
                    <w:r>
                      <w:rPr>
                        <w:rFonts w:ascii="Times New Roman" w:eastAsia="宋体" w:cs="Times New Roman" w:hAnsi="Times New Roman"/>
                        <w:sz w:val="28"/>
                        <w:szCs w:val="28"/>
                      </w:rPr>
                      <w:fldChar w:fldCharType="begin"/>
                    </w:r>
                    <w:r>
                      <w:rPr>
                        <w:rFonts w:ascii="Times New Roman" w:eastAsia="宋体" w:cs="Times New Roman" w:hAnsi="Times New Roman"/>
                        <w:sz w:val="28"/>
                        <w:szCs w:val="28"/>
                      </w:rPr>
                      <w:instrText xml:space="preserve"> PAGE  \* MERGEFORMAT </w:instrText>
                    </w:r>
                    <w:r>
                      <w:rPr>
                        <w:rFonts w:ascii="Times New Roman" w:eastAsia="宋体" w:cs="Times New Roman" w:hAnsi="Times New Roman" w:hint="eastAsia"/>
                        <w:sz w:val="28"/>
                        <w:szCs w:val="28"/>
                      </w:rPr>
                      <w:fldChar w:fldCharType="separate"/>
                    </w:r>
                    <w:r>
                      <w:rPr>
                        <w:rFonts w:ascii="Times New Roman" w:eastAsia="宋体" w:cs="Times New Roman" w:hAnsi="Times New Roman"/>
                        <w:sz w:val="28"/>
                        <w:szCs w:val="28"/>
                      </w:rPr>
                      <w:t>1</w:t>
                    </w:r>
                    <w:r>
                      <w:rPr>
                        <w:rFonts w:ascii="Times New Roman" w:eastAsia="宋体" w:cs="Times New Roman" w:hAnsi="Times New Roman" w:hint="eastAsia"/>
                        <w:sz w:val="28"/>
                        <w:szCs w:val="28"/>
                      </w:rPr>
                      <w:fldChar w:fldCharType="end"/>
                    </w:r>
                  </w:p>
                </w:txbxContent>
              </v:textbox>
            </v:shape>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20"/>
  <w:drawingGridVerticalSpacing w:val="200"/>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DengXian" w:eastAsia="DengXian" w:cs="Arial"/>
      <w:kern w:val="2"/>
      <w:sz w:val="24"/>
      <w:szCs w:val="24"/>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Arial" w:eastAsia="黑体" w:hAnsi="Arial"/>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annotation text"/>
    <w:basedOn w:val="0"/>
    <w:pPr>
      <w:jc w:val="left"/>
    </w:pPr>
  </w:style>
  <w:style w:type="paragraph" w:styleId="16">
    <w:name w:val="Balloon Text"/>
    <w:basedOn w:val="0"/>
    <w:rPr>
      <w:rFonts w:ascii="宋体" w:eastAsia="宋体"/>
      <w:sz w:val="18"/>
      <w:szCs w:val="18"/>
    </w:rPr>
  </w:style>
  <w:style w:type="paragraph" w:styleId="17">
    <w:name w:val="footer"/>
    <w:basedOn w:val="0"/>
    <w:pPr>
      <w:tabs>
        <w:tab w:val="center" w:pos="4153"/>
        <w:tab w:val="right" w:pos="8306"/>
      </w:tabs>
      <w:snapToGrid w:val="0"/>
      <w:jc w:val="left"/>
    </w:pPr>
    <w:rPr>
      <w:sz w:val="18"/>
    </w:rPr>
  </w:style>
  <w:style w:type="paragraph" w:styleId="18">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pPr>
    <w:rPr>
      <w:sz w:val="18"/>
    </w:rPr>
  </w:style>
  <w:style w:type="paragraph" w:styleId="19">
    <w:name w:val="toc 1"/>
    <w:basedOn w:val="0"/>
    <w:next w:val="0"/>
  </w:style>
  <w:style w:type="paragraph" w:styleId="20">
    <w:name w:val="toc 2"/>
    <w:basedOn w:val="0"/>
    <w:next w:val="0"/>
    <w:pPr>
      <w:ind w:leftChars="200" w:left="200"/>
    </w:pPr>
  </w:style>
  <w:style w:type="paragraph" w:styleId="21">
    <w:name w:val="annotation subject"/>
    <w:basedOn w:val="15"/>
    <w:next w:val="15"/>
    <w:rPr>
      <w:b/>
      <w:bCs/>
    </w:rPr>
  </w:style>
  <w:style w:type="character" w:styleId="22">
    <w:name w:val="Hyperlink"/>
    <w:basedOn w:val="10"/>
    <w:rPr>
      <w:color w:val="0563C1"/>
      <w:u w:val="single"/>
    </w:rPr>
  </w:style>
  <w:style w:type="character" w:styleId="23">
    <w:name w:val="annotation reference"/>
    <w:basedOn w:val="10"/>
    <w:rPr>
      <w:sz w:val="21"/>
      <w:szCs w:val="21"/>
    </w:rPr>
  </w:style>
  <w:style w:type="paragraph" w:customStyle="1" w:styleId="24">
    <w:name w:val="列出段落1"/>
    <w:basedOn w:val="0"/>
    <w:pPr>
      <w:ind w:firstLineChars="200" w:firstLine="200"/>
    </w:pPr>
  </w:style>
  <w:style w:type="paragraph" w:customStyle="1" w:styleId="25">
    <w:name w:val="列出段落1"/>
    <w:basedOn w:val="0"/>
    <w:pPr>
      <w:ind w:firstLineChars="200" w:firstLine="200"/>
    </w:pPr>
    <w:rPr>
      <w:sz w:val="21"/>
      <w:szCs w:val="22"/>
    </w:rPr>
  </w:style>
  <w:style w:type="paragraph" w:customStyle="1" w:styleId="26">
    <w:name w:val="WPSOffice手动目录 1"/>
    <w:rPr>
      <w:rFonts w:ascii="Times New Roman" w:eastAsia="宋体" w:cs="Times New Roman" w:hAnsi="Times New Roman"/>
      <w:sz w:val="20"/>
      <w:szCs w:val="20"/>
      <w:lang w:val="en-US" w:eastAsia="zh-CN" w:bidi="ar-SA"/>
    </w:rPr>
  </w:style>
  <w:style w:type="paragraph" w:customStyle="1" w:styleId="27">
    <w:name w:val="WPSOffice手动目录 2"/>
    <w:pPr>
      <w:ind w:leftChars="200" w:left="200"/>
    </w:pPr>
    <w:rPr>
      <w:rFonts w:ascii="Times New Roman" w:eastAsia="宋体" w:cs="Times New Roman" w:hAnsi="Times New Roman"/>
      <w:sz w:val="20"/>
      <w:szCs w:val="20"/>
      <w:lang w:val="en-US" w:eastAsia="zh-CN" w:bidi="ar-SA"/>
    </w:rPr>
  </w:style>
  <w:style w:type="paragraph" w:customStyle="1" w:styleId="28">
    <w:name w:val="WPSOffice手动目录 3"/>
    <w:pPr>
      <w:ind w:leftChars="400" w:left="400"/>
    </w:pPr>
    <w:rPr>
      <w:rFonts w:ascii="Times New Roman" w:eastAsia="宋体" w:cs="Times New Roman" w:hAnsi="Times New Roman"/>
      <w:sz w:val="20"/>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334</TotalTime>
  <Application>Yozo_Office27021597764231180</Application>
  <Pages>4</Pages>
  <Words>0</Words>
  <Characters>1217</Characters>
  <Lines>0</Lines>
  <Paragraphs>40</Paragraphs>
  <CharactersWithSpaces>1623</CharactersWithSpaces>
  <Company>Hewlett-Packard Company</Company>
</Properties>
</file>

<file path=docProps/core.xml><?xml version="1.0" encoding="utf-8"?>
<cp:coreProperties xmlns:cp="http://schemas.openxmlformats.org/package/2006/metadata/core-properties" xmlns:dc="http://purl.org/dc/elements/1.1/" xmlns:dcterms="http://purl.org/dc/terms/" xmlns:xsi="http://www.w3.org/2001/XMLSchema-instance">
  <dc:creator>huachao dong</dc:creator>
  <cp:lastModifiedBy>Administrator</cp:lastModifiedBy>
  <cp:revision>60</cp:revision>
  <dcterms:created xsi:type="dcterms:W3CDTF">2020-05-07T10:42:00Z</dcterms:created>
  <dcterms:modified xsi:type="dcterms:W3CDTF">2021-02-24T07:58:55Z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2052-11.8.6.8810</vt:lpwstr>
  </property>
</Properties>
</file>